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20" w:rsidRDefault="00934C54">
      <w:pPr>
        <w:pStyle w:val="Tijelo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Obrazac 1.3.2. Izvedbeni plan nastave 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syllabus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customMarkFollows="1" w:id="2"/>
        <w:t>*</w:t>
      </w:r>
    </w:p>
    <w:tbl>
      <w:tblPr>
        <w:tblW w:w="9066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7"/>
        <w:gridCol w:w="428"/>
        <w:gridCol w:w="296"/>
        <w:gridCol w:w="400"/>
        <w:gridCol w:w="160"/>
        <w:gridCol w:w="161"/>
        <w:gridCol w:w="158"/>
        <w:gridCol w:w="161"/>
        <w:gridCol w:w="166"/>
        <w:gridCol w:w="162"/>
        <w:gridCol w:w="250"/>
        <w:gridCol w:w="354"/>
        <w:gridCol w:w="161"/>
        <w:gridCol w:w="160"/>
        <w:gridCol w:w="246"/>
        <w:gridCol w:w="346"/>
        <w:gridCol w:w="182"/>
        <w:gridCol w:w="161"/>
        <w:gridCol w:w="454"/>
        <w:gridCol w:w="387"/>
        <w:gridCol w:w="159"/>
        <w:gridCol w:w="172"/>
        <w:gridCol w:w="169"/>
        <w:gridCol w:w="344"/>
        <w:gridCol w:w="169"/>
        <w:gridCol w:w="169"/>
        <w:gridCol w:w="161"/>
        <w:gridCol w:w="158"/>
        <w:gridCol w:w="1105"/>
      </w:tblGrid>
      <w:tr w:rsidR="007F6D20">
        <w:trPr>
          <w:trHeight w:val="63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</w:rPr>
              <w:t xml:space="preserve">Naziv kolegija </w:t>
            </w:r>
          </w:p>
        </w:tc>
        <w:tc>
          <w:tcPr>
            <w:tcW w:w="51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  <w:jc w:val="center"/>
            </w:pPr>
            <w:r>
              <w:rPr>
                <w:rFonts w:ascii="Papyrus" w:hAnsi="Papyrus"/>
                <w:sz w:val="20"/>
                <w:szCs w:val="20"/>
              </w:rPr>
              <w:t>METODOLOGIJA  ISTRAŽ</w:t>
            </w:r>
            <w:r>
              <w:rPr>
                <w:rFonts w:ascii="Papyrus" w:hAnsi="Papyrus"/>
                <w:sz w:val="20"/>
                <w:szCs w:val="20"/>
                <w:lang w:val="de-DE"/>
              </w:rPr>
              <w:t xml:space="preserve">IVANJA  ILUMINIRANIH RUKOPISA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(PDI922)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akad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god.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2019./2020.</w:t>
            </w:r>
          </w:p>
        </w:tc>
      </w:tr>
      <w:tr w:rsidR="007F6D20">
        <w:trPr>
          <w:trHeight w:val="4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Naziv studija</w:t>
            </w:r>
          </w:p>
        </w:tc>
        <w:tc>
          <w:tcPr>
            <w:tcW w:w="51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Diplomski jednopredmetni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dvopredmetni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sveučilišni studij povijesti umjetnosti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F6D20">
        <w:trPr>
          <w:trHeight w:val="24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Sastavnica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sz w:val="20"/>
                <w:szCs w:val="20"/>
              </w:rPr>
              <w:t>Odjel za povijest umjetnosti</w:t>
            </w:r>
          </w:p>
        </w:tc>
      </w:tr>
      <w:tr w:rsidR="007F6D20">
        <w:trPr>
          <w:trHeight w:val="22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Razina studija</w:t>
            </w:r>
          </w:p>
        </w:tc>
        <w:tc>
          <w:tcPr>
            <w:tcW w:w="1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7F6D20">
        <w:trPr>
          <w:trHeight w:val="44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Vrsta studija</w:t>
            </w:r>
          </w:p>
        </w:tc>
        <w:tc>
          <w:tcPr>
            <w:tcW w:w="1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jednopredmetni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7F6D20">
        <w:trPr>
          <w:trHeight w:val="22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Godina studija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</w:tc>
        <w:tc>
          <w:tcPr>
            <w:tcW w:w="1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2.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3.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4.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5.</w:t>
            </w:r>
          </w:p>
        </w:tc>
      </w:tr>
      <w:tr w:rsidR="007F6D20">
        <w:trPr>
          <w:trHeight w:val="224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zimski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I.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II.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III.</w:t>
            </w:r>
          </w:p>
        </w:tc>
        <w:tc>
          <w:tcPr>
            <w:tcW w:w="1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IV.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V.</w:t>
            </w:r>
          </w:p>
        </w:tc>
      </w:tr>
      <w:tr w:rsidR="007F6D20">
        <w:trPr>
          <w:trHeight w:val="224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D20" w:rsidRDefault="007F6D20"/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20" w:rsidRDefault="007F6D20"/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VI.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VII.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IX.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X.</w:t>
            </w:r>
          </w:p>
        </w:tc>
      </w:tr>
      <w:tr w:rsidR="007F6D20">
        <w:trPr>
          <w:trHeight w:val="42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Status kolegija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Nastavničke kompetencije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lang w:val="pt-PT"/>
              </w:rPr>
              <w:t xml:space="preserve"> DA </w:t>
            </w: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NE</w:t>
            </w:r>
          </w:p>
        </w:tc>
      </w:tr>
      <w:tr w:rsidR="007F6D20">
        <w:trPr>
          <w:trHeight w:val="31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Opterećenje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7F6D20"/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7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MS Mincho" w:hAnsi="MS Mincho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lang w:val="pt-PT"/>
              </w:rPr>
              <w:t xml:space="preserve"> DA </w:t>
            </w: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NE</w:t>
            </w:r>
          </w:p>
        </w:tc>
      </w:tr>
      <w:tr w:rsidR="007F6D20">
        <w:trPr>
          <w:trHeight w:val="42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Mjesto i vrijeme izvođenja nastave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0" w:after="0"/>
            </w:pPr>
            <w:r>
              <w:rPr>
                <w:rFonts w:ascii="Times New Roman" w:hAnsi="Times New Roman"/>
                <w:color w:val="3F3F3F"/>
                <w:sz w:val="18"/>
                <w:szCs w:val="18"/>
                <w:u w:color="3F3F3F"/>
                <w:shd w:val="clear" w:color="auto" w:fill="FFFFFF"/>
              </w:rPr>
              <w:t>srijeda, 16-18 h (P), dv. 114;</w:t>
            </w:r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  <w:u w:color="3F3F3F"/>
              </w:rPr>
              <w:br/>
            </w:r>
            <w:r>
              <w:rPr>
                <w:rFonts w:ascii="Times New Roman" w:hAnsi="Times New Roman"/>
                <w:color w:val="3F3F3F"/>
                <w:sz w:val="18"/>
                <w:szCs w:val="18"/>
                <w:u w:color="3F3F3F"/>
                <w:shd w:val="clear" w:color="auto" w:fill="FFFFFF"/>
              </w:rPr>
              <w:t>srijeda, 18-20 h (S); dv. 114</w:t>
            </w:r>
          </w:p>
        </w:tc>
        <w:tc>
          <w:tcPr>
            <w:tcW w:w="37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Jezik/jezici na kojima se izvodi kolegij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sz w:val="18"/>
                <w:szCs w:val="18"/>
              </w:rPr>
              <w:t>hrvatski</w:t>
            </w:r>
          </w:p>
        </w:tc>
      </w:tr>
      <w:tr w:rsidR="007F6D20">
        <w:trPr>
          <w:trHeight w:val="22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Početak nastave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26. veljače 2020.</w:t>
            </w:r>
          </w:p>
        </w:tc>
        <w:tc>
          <w:tcPr>
            <w:tcW w:w="37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Završetak nastave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sz w:val="18"/>
                <w:szCs w:val="18"/>
              </w:rPr>
              <w:t>3. lipnja 2020.</w:t>
            </w:r>
          </w:p>
        </w:tc>
      </w:tr>
      <w:tr w:rsidR="007F6D20">
        <w:trPr>
          <w:trHeight w:val="42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Preduvjeti za upis kolegija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sz w:val="18"/>
                <w:szCs w:val="18"/>
              </w:rPr>
              <w:t>Upisan diplomski studij povijesti umjetnosti</w:t>
            </w:r>
          </w:p>
        </w:tc>
      </w:tr>
      <w:tr w:rsidR="007F6D20">
        <w:trPr>
          <w:trHeight w:val="310"/>
        </w:trPr>
        <w:tc>
          <w:tcPr>
            <w:tcW w:w="90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7F6D20"/>
        </w:tc>
      </w:tr>
      <w:tr w:rsidR="007F6D20">
        <w:trPr>
          <w:trHeight w:val="22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Nositelj kolegija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Meri Zornija</w:t>
            </w:r>
          </w:p>
        </w:tc>
      </w:tr>
      <w:tr w:rsidR="007F6D20">
        <w:trPr>
          <w:trHeight w:val="22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B35243">
            <w:pPr>
              <w:pStyle w:val="TijeloA"/>
              <w:tabs>
                <w:tab w:val="left" w:pos="1218"/>
              </w:tabs>
              <w:spacing w:before="20" w:after="20"/>
            </w:pPr>
            <w:hyperlink r:id="rId7" w:history="1">
              <w:r w:rsidR="00934C54">
                <w:rPr>
                  <w:rStyle w:val="Hyperlink0"/>
                  <w:rFonts w:eastAsia="Arial Unicode MS"/>
                </w:rPr>
                <w:t>mezornija@unizd.hr</w:t>
              </w:r>
            </w:hyperlink>
            <w:r w:rsidR="00934C54">
              <w:rPr>
                <w:rStyle w:val="Bez"/>
                <w:rFonts w:ascii="Times New Roman" w:hAnsi="Times New Roman"/>
                <w:sz w:val="18"/>
                <w:szCs w:val="18"/>
              </w:rPr>
              <w:t xml:space="preserve">; </w:t>
            </w:r>
            <w:hyperlink r:id="rId8" w:history="1">
              <w:r w:rsidR="00934C54">
                <w:rPr>
                  <w:rStyle w:val="Hyperlink0"/>
                  <w:rFonts w:eastAsia="Arial Unicode MS"/>
                </w:rPr>
                <w:t>zornija@gmail.com</w:t>
              </w:r>
            </w:hyperlink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Četvrtak, 13-14 sati</w:t>
            </w:r>
          </w:p>
        </w:tc>
      </w:tr>
      <w:tr w:rsidR="007F6D20">
        <w:trPr>
          <w:trHeight w:val="22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Izvođač kolegija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sc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>. Meri Zornija</w:t>
            </w:r>
          </w:p>
        </w:tc>
      </w:tr>
      <w:tr w:rsidR="007F6D20">
        <w:trPr>
          <w:trHeight w:val="31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  <w:jc w:val="right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7F6D20"/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7F6D20"/>
        </w:tc>
      </w:tr>
      <w:tr w:rsidR="007F6D20">
        <w:trPr>
          <w:trHeight w:val="310"/>
        </w:trPr>
        <w:tc>
          <w:tcPr>
            <w:tcW w:w="90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7F6D20"/>
        </w:tc>
      </w:tr>
      <w:tr w:rsidR="007F6D20">
        <w:trPr>
          <w:trHeight w:val="424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Vrste izvođenja nastave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Mincho" w:hAnsi="MS Mincho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Mincho" w:hAnsi="MS Mincho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Mincho" w:hAnsi="MS Mincho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terenska nastava</w:t>
            </w:r>
          </w:p>
        </w:tc>
      </w:tr>
      <w:tr w:rsidR="007F6D20">
        <w:trPr>
          <w:trHeight w:val="424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D20" w:rsidRDefault="007F6D20"/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Mincho" w:hAnsi="MS Mincho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Mincho" w:hAnsi="MS Mincho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Mincho" w:hAnsi="MS Mincho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Mincho" w:hAnsi="MS Mincho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ostalo</w:t>
            </w:r>
          </w:p>
        </w:tc>
      </w:tr>
      <w:tr w:rsidR="007F6D20">
        <w:trPr>
          <w:trHeight w:val="2810"/>
        </w:trPr>
        <w:tc>
          <w:tcPr>
            <w:tcW w:w="3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Ishodi učenja kolegija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0" w:after="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- Definirati i razlikovati povijesno-umjetničke metode analize i interpretacije iluminiranih rukopisa na naprednoj razini</w:t>
            </w:r>
          </w:p>
          <w:p w:rsidR="007F6D20" w:rsidRDefault="00934C54">
            <w:pPr>
              <w:pStyle w:val="TijeloA"/>
              <w:spacing w:before="0" w:after="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- Prepoznati, klasificirati, odabrati i koristiti različite pristupe u metodologiji znanstvenog istraživanja</w:t>
            </w:r>
          </w:p>
          <w:p w:rsidR="007F6D20" w:rsidRDefault="00934C54">
            <w:pPr>
              <w:pStyle w:val="TijeloA"/>
              <w:spacing w:before="0" w:after="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- Primijeniti i demonstrirati složeniju i uže stručnu povijesno-umjetničku terminologiju vezanu za proučavanje oslikanih rukopisa u usmenom i pismenom obliku </w:t>
            </w:r>
          </w:p>
          <w:p w:rsidR="007F6D20" w:rsidRDefault="00934C54">
            <w:pPr>
              <w:pStyle w:val="TijeloA"/>
              <w:spacing w:before="0" w:after="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- Izabrati i integrirati sadržaje, metode i terminologiju srodnih disciplina (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kodikologija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, paleografija,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liturgika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>, povijest i dr.)</w:t>
            </w:r>
          </w:p>
          <w:p w:rsidR="007F6D20" w:rsidRDefault="00934C54">
            <w:pPr>
              <w:pStyle w:val="TijeloA"/>
              <w:spacing w:before="0" w:after="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- Integrirati napredna znanja u složenije, pojedinačnim primjerima nadređene grupacije umjetničkih pojava</w:t>
            </w:r>
          </w:p>
          <w:p w:rsidR="007F6D20" w:rsidRDefault="00934C54">
            <w:pPr>
              <w:pStyle w:val="TijeloA"/>
              <w:spacing w:before="0" w:after="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- Samostalno izdvojiti i formulirati temu istraživanja te predvidjeti i planirati tijek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istraž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iva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čkih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radova i postupaka </w:t>
            </w:r>
          </w:p>
        </w:tc>
      </w:tr>
      <w:tr w:rsidR="007F6D20">
        <w:trPr>
          <w:trHeight w:val="1422"/>
        </w:trPr>
        <w:tc>
          <w:tcPr>
            <w:tcW w:w="3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0" w:after="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- Izdvojiti i demonstrirati specifična znanja i vještine iz užih područja struke</w:t>
            </w:r>
          </w:p>
          <w:p w:rsidR="007F6D20" w:rsidRDefault="00934C54">
            <w:pPr>
              <w:pStyle w:val="TijeloA"/>
              <w:spacing w:before="0" w:after="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- Koristiti stručnu literaturu na hrvatskom i dva svjetska jezika</w:t>
            </w:r>
          </w:p>
          <w:p w:rsidR="007F6D20" w:rsidRDefault="00934C54">
            <w:pPr>
              <w:pStyle w:val="TijeloA"/>
              <w:spacing w:before="0" w:after="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- Predvidjeti, preispitati i zastupati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različ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s-ES_tradnl"/>
              </w:rPr>
              <w:t>ite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s-ES_tradnl"/>
              </w:rPr>
              <w:t>metodolo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ške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pristupe u povijesno-umjetničkom istraživanju </w:t>
            </w:r>
          </w:p>
          <w:p w:rsidR="007F6D20" w:rsidRDefault="00934C54">
            <w:pPr>
              <w:pStyle w:val="TijeloA"/>
              <w:spacing w:before="0" w:after="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- Demonstrirati naprednu razinu komunikacije utemeljene na relevantnim argumentima i interpretacijama</w:t>
            </w:r>
          </w:p>
        </w:tc>
      </w:tr>
      <w:tr w:rsidR="007F6D20">
        <w:trPr>
          <w:trHeight w:val="310"/>
        </w:trPr>
        <w:tc>
          <w:tcPr>
            <w:tcW w:w="90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7F6D20"/>
        </w:tc>
      </w:tr>
      <w:tr w:rsidR="007F6D20">
        <w:trPr>
          <w:trHeight w:val="424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Načini praćenja studenata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 xml:space="preserve"> doma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će zadaće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istraživanje</w:t>
            </w:r>
          </w:p>
        </w:tc>
      </w:tr>
      <w:tr w:rsidR="007F6D20">
        <w:trPr>
          <w:trHeight w:val="404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D20" w:rsidRDefault="007F6D20"/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Bez"/>
                <w:rFonts w:ascii="Times New Roman" w:hAnsi="Times New Roman"/>
                <w:sz w:val="16"/>
                <w:szCs w:val="16"/>
              </w:rPr>
              <w:t>eksperimentalni rad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 xml:space="preserve"> seminar</w:t>
            </w:r>
          </w:p>
        </w:tc>
      </w:tr>
      <w:tr w:rsidR="007F6D20">
        <w:trPr>
          <w:trHeight w:val="224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D20" w:rsidRDefault="007F6D20"/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ostalo: </w:t>
            </w:r>
          </w:p>
        </w:tc>
      </w:tr>
      <w:tr w:rsidR="007F6D20">
        <w:trPr>
          <w:trHeight w:val="14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Uvjeti pristupanja ispitu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0" w:after="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 xml:space="preserve">Studenti su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du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žni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odslušati najmanje 70% predavanja, te sudjelovati u radu i diskusiji na najmanje 70% seminara (u slučaju kolizije 40% predavanja i 40% seminara).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 xml:space="preserve">Studenti su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du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žni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izraditi 1 seminarski rad te ga prezentirati u vidu usmenog izlaganja (najmanje 30 minuta trajanja).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Svaki student će individualno izvesti samostalno istraživanje i krajem semestra prezentirati rezultate u vidu usmenog izlaganja (od 30 do 40 minuta trajanja). Istraživanje će biti ocijenjeno, te će utjecati na formiranje završne ocjene.</w:t>
            </w:r>
          </w:p>
        </w:tc>
      </w:tr>
      <w:tr w:rsidR="007F6D20">
        <w:trPr>
          <w:trHeight w:val="22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Ispitni rokovi</w:t>
            </w:r>
          </w:p>
        </w:tc>
        <w:tc>
          <w:tcPr>
            <w:tcW w:w="28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jesenski ispitni rok</w:t>
            </w:r>
          </w:p>
        </w:tc>
      </w:tr>
      <w:tr w:rsidR="007F6D20">
        <w:trPr>
          <w:trHeight w:val="42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Termini ispitnih rokova</w:t>
            </w:r>
          </w:p>
        </w:tc>
        <w:tc>
          <w:tcPr>
            <w:tcW w:w="28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7F6D20"/>
        </w:tc>
        <w:tc>
          <w:tcPr>
            <w:tcW w:w="24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de-DE"/>
              </w:rPr>
              <w:t xml:space="preserve">Bit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će objavljeni na web stranicama Odjela</w:t>
            </w:r>
          </w:p>
        </w:tc>
        <w:tc>
          <w:tcPr>
            <w:tcW w:w="2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de-DE"/>
              </w:rPr>
              <w:t xml:space="preserve">Bit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će objavljeni na web stranicama Odjela</w:t>
            </w:r>
          </w:p>
        </w:tc>
      </w:tr>
      <w:tr w:rsidR="007F6D20">
        <w:trPr>
          <w:trHeight w:val="275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Opis kolegija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Kvalitetno i sveobuhvatno istraživanje  iluminiranih rukopisa ne svodi se samo na povijesno-umjetničku i stilsku analizu iluminacija, nego u velikoj mjeri ovisi o poznavanju svih aspekata srednjovjekovnog kodeksa, važnih za određivanje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datacije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i porijekla rukopisa. 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- proces nastanka kodeksa: struktura, materijali, formati, tehnike uveza; 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- upoznavanje s poslom pisara i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iluminatora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- vrste pisma – osnove paleografije;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ru-RU"/>
              </w:rPr>
              <w:t>va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žnost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analize teksta i povezanost teksta i slike – detaljnije o vrstama liturgijskih tekstova; osnovno prepoznavanje vrste notacije (notnih </w:t>
            </w:r>
            <w:proofErr w:type="gram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zapisa)…</w:t>
            </w:r>
            <w:proofErr w:type="gramEnd"/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Drugi dio kolegija bit će posvećen analizi konkretnih europskih i hrvatskih primjera dobre prakse u proučavanju iluminiranih rukopisa.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 xml:space="preserve">Studenti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će u konačnici ovladati temeljnim metodološkim postupcima u proučavanju srednjovjekovnih oslikanih rukopisa, te će ih u vlastitom istraživanju samostalno primijeniti. </w:t>
            </w:r>
          </w:p>
        </w:tc>
      </w:tr>
      <w:tr w:rsidR="007F6D20">
        <w:trPr>
          <w:trHeight w:val="362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Sadržaj kolegija (nastavne teme)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de-DE"/>
              </w:rPr>
              <w:t>Uvodni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de-DE"/>
              </w:rPr>
              <w:t>dio</w:t>
            </w:r>
            <w:proofErr w:type="spellEnd"/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Proces nastanka kodeksa: formiranje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bifolija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od obrađene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pregamene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>, formati kodeksa, konstrukcija i dijelovi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 xml:space="preserve">;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knjigoveštvo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i struktura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fr-FR"/>
              </w:rPr>
              <w:t>uvez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>a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Proces ispisivanja i ukrašavanja kodeksa: tehnički aspekti posla pisara i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iluminatora</w:t>
            </w:r>
            <w:proofErr w:type="spellEnd"/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Osnove paleografije: vrste pisma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Liturgijski tekstovi i njihova podjela; važnost proučavanja napjeva (vrste notacije)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Iluminacija u ranom srednjem vijeku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Iluminacija u zrelom srednjem vijeku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Iluminacija u kasnom srednjem vijeku i renesansi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Analiza odabranih europskih primjera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Analiza odabranih europskih primjera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Analiza odabranih europskih primjera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Analiza odabranih primjera iz nacionalne baštine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Analiza odabranih primjera iz nacionalne baštine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Analiza odabranih primjera iz nacionalne baštine</w:t>
            </w:r>
          </w:p>
          <w:p w:rsidR="007F6D20" w:rsidRDefault="00934C54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Analiza odabranih primjera iz nacionalne baštine</w:t>
            </w:r>
          </w:p>
        </w:tc>
      </w:tr>
      <w:tr w:rsidR="007F6D20">
        <w:trPr>
          <w:trHeight w:val="374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Obvezna literatura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 w:rsidP="005E4A1E">
            <w:pPr>
              <w:pStyle w:val="TijeloA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J. J.G. Alexander,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Medieval illuminators and their methods of work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Yale University Press, 2001.</w:t>
            </w:r>
          </w:p>
          <w:p w:rsidR="007F6D20" w:rsidRDefault="00934C54" w:rsidP="005E4A1E">
            <w:pPr>
              <w:pStyle w:val="TijeloA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O.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Pacht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La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miniatura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medievale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Torino, 2004.</w:t>
            </w:r>
          </w:p>
          <w:p w:rsidR="00416183" w:rsidRDefault="00416183" w:rsidP="005E4A1E">
            <w:pPr>
              <w:pStyle w:val="TijeloA"/>
              <w:numPr>
                <w:ilvl w:val="0"/>
                <w:numId w:val="2"/>
              </w:numPr>
              <w:spacing w:before="0" w:after="0"/>
              <w:jc w:val="both"/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C. de Hamel, </w:t>
            </w:r>
            <w:r w:rsidRPr="00416183"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Making Medieval Manuscripts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Oxford: Bodleian Library, 2018.</w:t>
            </w:r>
          </w:p>
          <w:p w:rsidR="005E4A1E" w:rsidRDefault="005E4A1E" w:rsidP="005E4A1E">
            <w:pPr>
              <w:pStyle w:val="TijeloA"/>
              <w:numPr>
                <w:ilvl w:val="0"/>
                <w:numId w:val="2"/>
              </w:numPr>
              <w:spacing w:before="0" w:after="0"/>
              <w:jc w:val="both"/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R. Clemens, T. Graham, </w:t>
            </w:r>
            <w:r w:rsidRPr="00E94C1C"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Introduction to Manuscript Studies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Cornell University Press, 2008.</w:t>
            </w:r>
          </w:p>
          <w:p w:rsidR="007F6D20" w:rsidRDefault="00934C54" w:rsidP="005E4A1E">
            <w:pPr>
              <w:pStyle w:val="TijeloA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Stipčevic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́,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Socijalna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povijest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knjige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Hrvata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Knjiga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1,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srednji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vijek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Zagreb,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knjiga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2004. </w:t>
            </w:r>
          </w:p>
          <w:p w:rsidR="007F6D20" w:rsidRDefault="00934C54" w:rsidP="005E4A1E">
            <w:pPr>
              <w:pStyle w:val="TijeloA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Stipišić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Pomoćne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povijesne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znanosti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teoriji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praksi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Školska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knjiga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Zagreb, 1985.  </w:t>
            </w:r>
          </w:p>
          <w:p w:rsidR="007F6D20" w:rsidRDefault="00934C54" w:rsidP="005E4A1E">
            <w:pPr>
              <w:pStyle w:val="TijeloA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M. P. Brown: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Understanding illuminated manuscripts - A guide to technical terms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1994.</w:t>
            </w:r>
          </w:p>
          <w:p w:rsidR="007F6D20" w:rsidRDefault="007F6D20">
            <w:pPr>
              <w:pStyle w:val="TijeloA"/>
              <w:tabs>
                <w:tab w:val="left" w:pos="20"/>
                <w:tab w:val="left" w:pos="170"/>
              </w:tabs>
              <w:spacing w:before="0" w:after="0"/>
              <w:ind w:left="170"/>
              <w:jc w:val="both"/>
              <w:rPr>
                <w:rStyle w:val="Bez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D20" w:rsidRDefault="00934C54">
            <w:pPr>
              <w:pStyle w:val="TijeloA"/>
              <w:tabs>
                <w:tab w:val="left" w:pos="20"/>
                <w:tab w:val="left" w:pos="170"/>
              </w:tabs>
              <w:spacing w:before="0" w:after="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FAKSIMILNA IZDANJA:</w:t>
            </w:r>
          </w:p>
          <w:p w:rsidR="007F6D20" w:rsidRDefault="00934C54" w:rsidP="005E4A1E">
            <w:pPr>
              <w:pStyle w:val="Tijelo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Evangeliarium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Spalatense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Split, 2004.</w:t>
            </w:r>
          </w:p>
          <w:p w:rsidR="007F6D20" w:rsidRDefault="00934C54" w:rsidP="005E4A1E">
            <w:pPr>
              <w:pStyle w:val="Tijelo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Grgić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– J.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Kolanović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Liber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horarum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Cichae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abbatissae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Monasterii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Sanctae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Mariae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monialium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Iadra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Zagreb, 2002.</w:t>
            </w:r>
          </w:p>
          <w:p w:rsidR="007F6D20" w:rsidRDefault="00934C54" w:rsidP="005E4A1E">
            <w:pPr>
              <w:pStyle w:val="Tijelo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Kotorski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misal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Sv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Jakova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od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Lođe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(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obradila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L.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Blechova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Čelebić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),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Tivat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-Podgorica, 2019.</w:t>
            </w:r>
          </w:p>
          <w:p w:rsidR="007F6D20" w:rsidRDefault="00934C54" w:rsidP="005E4A1E">
            <w:pPr>
              <w:pStyle w:val="Tijelo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Demović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Trogirski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Evanđelistar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Split, 1997.</w:t>
            </w:r>
          </w:p>
          <w:p w:rsidR="007F6D20" w:rsidRDefault="00934C54" w:rsidP="005E4A1E">
            <w:pPr>
              <w:pStyle w:val="Tijelo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Missale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Hervoiae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ducis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Spa</w:t>
            </w:r>
            <w:bookmarkStart w:id="0" w:name="_GoBack"/>
            <w:bookmarkEnd w:id="0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latensis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croatico-glagoliticum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transcriptio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et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commentarium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Hrvatskoglagoljski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misal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Hrvoja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Vukčića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Hrvatinića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transkripcija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komentari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(B. Grabar, A.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Nazor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Pantelić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), Zagreb, Ljubljana, Graz, 1973.</w:t>
            </w:r>
          </w:p>
        </w:tc>
      </w:tr>
      <w:tr w:rsidR="007F6D20">
        <w:trPr>
          <w:trHeight w:val="520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 xml:space="preserve">Dodatna literatura 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Stipčevic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́,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Povijest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knjige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Zagreb,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Matica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Hrvatska, 2006., str. 156-250.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Pelc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Pismo,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knjiga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slika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, Zagreb, Golden Marketing, 2002., str. 59-112.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C. De Hamel,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A history of illuminated manuscripts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London, 1986.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ili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1997. 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C. De Hamel,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The Book. A History of the Bible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Phaidon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Press Limited, 2001.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K.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Weitzmann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Late antique and early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christian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book illumination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New York, 1977.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M. Schapiro,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The Language of Forms: lectures on insular manuscript art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The Pierpont Morgan Library, 2005.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M. P. Brown,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A guide to western historical scripts from antiquity to 1600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British Library, 2007.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Drogin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Medieval calligraphy – Its history and technique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New York, 1989.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J. A.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Szirmai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The Archaeology of Medieval bookbinding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Aldershot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1999.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Vodopivec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Binding structure as an important aspect of the book, u: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Summer School in the Study of Historical Manuscripts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ur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. M.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Willer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M.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Tomić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), Zadar, 2013.</w:t>
            </w:r>
          </w:p>
          <w:p w:rsidR="00416183" w:rsidRDefault="00416183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ez"/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Elba,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Miniatura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Dalmazia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. I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codici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beneventana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(XI-XIII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secolo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), Bari, 2011.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R.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Vojvoda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Dalmatian illuminated manuscripts written in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beneventan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script and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benedictine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scriptoria in Zadar, Dubrovnik and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Trogir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PhD dissertation, Central European University, Budapest, 2011.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R.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Vojvoda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Iluminacija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Trogirskoga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evanđelistara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raskoš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konzervativnost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dalmatinskoga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sitnoslikarstva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benediktinske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tradicije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u: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Raukarov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zbornik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(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ur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. N. Budak), Zagreb, 2005., str. 187-208.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Prvih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pet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stoljeća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hrvatske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umjetnosti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(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ur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. B.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Rauter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Plančić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), Zagreb,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Galerija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Klovićevi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dvori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, 2006.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E. Elba, Between Southern Italy and Dalmatia: Missal MR 166 of the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Metropolitana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Library, Zagreb, in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Zograf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33, Beograd, 2009. 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R. F.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Gyug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Liturgy and law in a Dalmatian city: The Bishop's book of Kotor (Sankt-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Peterburg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, BRAN, F. no. 200)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Pontifical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Institute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 xml:space="preserve"> od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Medieval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Studies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, Toronto, 2016.</w:t>
            </w:r>
          </w:p>
          <w:p w:rsidR="007F6D20" w:rsidRDefault="00934C54" w:rsidP="00416183">
            <w:pPr>
              <w:pStyle w:val="TijeloA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M.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en-US"/>
              </w:rPr>
              <w:t>Demovi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</w:rPr>
              <w:t>Beneventanski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</w:rPr>
              <w:t xml:space="preserve"> notirani misal dubrovačke katedrale iz 12.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</w:rPr>
              <w:t>stoljeć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, Dubrovnik, 2011. (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faksimilno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izdanje)</w:t>
            </w:r>
          </w:p>
        </w:tc>
      </w:tr>
      <w:tr w:rsidR="007F6D20">
        <w:trPr>
          <w:trHeight w:val="140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B35243">
            <w:pPr>
              <w:pStyle w:val="TijeloB"/>
              <w:rPr>
                <w:sz w:val="18"/>
                <w:szCs w:val="18"/>
              </w:rPr>
            </w:pPr>
            <w:hyperlink r:id="rId9" w:history="1">
              <w:r w:rsidR="00934C54">
                <w:rPr>
                  <w:rStyle w:val="Hyperlink1"/>
                  <w:sz w:val="18"/>
                  <w:szCs w:val="18"/>
                </w:rPr>
                <w:t>https://www.bl.uk/medieval-english-french-manuscripts/articles/how-to-make-a-medieval-manuscript#</w:t>
              </w:r>
            </w:hyperlink>
          </w:p>
          <w:p w:rsidR="007F6D20" w:rsidRDefault="00B35243">
            <w:pPr>
              <w:pStyle w:val="TijeloB"/>
              <w:rPr>
                <w:sz w:val="18"/>
                <w:szCs w:val="18"/>
              </w:rPr>
            </w:pPr>
            <w:hyperlink r:id="rId10" w:history="1">
              <w:r w:rsidR="00934C54">
                <w:rPr>
                  <w:rStyle w:val="Hyperlink1"/>
                  <w:sz w:val="18"/>
                  <w:szCs w:val="18"/>
                </w:rPr>
                <w:t>http://www.bl.uk/catalogues/illuminatedmanuscripts/introduction.asp</w:t>
              </w:r>
            </w:hyperlink>
          </w:p>
          <w:p w:rsidR="007F6D20" w:rsidRDefault="00B35243">
            <w:pPr>
              <w:pStyle w:val="TijeloB"/>
              <w:rPr>
                <w:rStyle w:val="Bez"/>
                <w:sz w:val="18"/>
                <w:szCs w:val="18"/>
              </w:rPr>
            </w:pPr>
            <w:hyperlink r:id="rId11" w:history="1">
              <w:r w:rsidR="00934C54">
                <w:rPr>
                  <w:rStyle w:val="Hyperlink1"/>
                  <w:sz w:val="18"/>
                  <w:szCs w:val="18"/>
                </w:rPr>
                <w:t>https://www.europeana.eu/portal/en/collections/manuscripts</w:t>
              </w:r>
            </w:hyperlink>
          </w:p>
          <w:p w:rsidR="007F6D20" w:rsidRDefault="00B35243">
            <w:pPr>
              <w:pStyle w:val="TijeloB"/>
              <w:rPr>
                <w:sz w:val="18"/>
                <w:szCs w:val="18"/>
              </w:rPr>
            </w:pPr>
            <w:hyperlink r:id="rId12" w:history="1">
              <w:r w:rsidR="00934C54">
                <w:rPr>
                  <w:rStyle w:val="Hyperlink1"/>
                  <w:sz w:val="18"/>
                  <w:szCs w:val="18"/>
                  <w:lang w:val="de-DE"/>
                </w:rPr>
                <w:t>https://digi.vatlib.it/mss/</w:t>
              </w:r>
            </w:hyperlink>
          </w:p>
          <w:p w:rsidR="007F6D20" w:rsidRDefault="00B35243">
            <w:pPr>
              <w:pStyle w:val="TijeloB"/>
              <w:rPr>
                <w:sz w:val="18"/>
                <w:szCs w:val="18"/>
              </w:rPr>
            </w:pPr>
            <w:hyperlink r:id="rId13" w:history="1">
              <w:r w:rsidR="00934C54">
                <w:rPr>
                  <w:rStyle w:val="Hyperlink1"/>
                  <w:sz w:val="18"/>
                  <w:szCs w:val="18"/>
                  <w:lang w:val="pt-PT"/>
                </w:rPr>
                <w:t>https://digital.bodleian.ox.ac.uk</w:t>
              </w:r>
            </w:hyperlink>
          </w:p>
          <w:p w:rsidR="007F6D20" w:rsidRDefault="00B35243">
            <w:pPr>
              <w:pStyle w:val="TijeloB"/>
            </w:pPr>
            <w:hyperlink r:id="rId14" w:history="1">
              <w:r w:rsidR="00934C54">
                <w:rPr>
                  <w:rStyle w:val="Hyperlink1"/>
                  <w:sz w:val="18"/>
                  <w:szCs w:val="18"/>
                </w:rPr>
                <w:t>https://www.themorgan.org/manuscripts/list</w:t>
              </w:r>
            </w:hyperlink>
          </w:p>
        </w:tc>
      </w:tr>
      <w:tr w:rsidR="007F6D20">
        <w:trPr>
          <w:trHeight w:val="310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Provjera ishoda učenja (prema uputama AZVO)</w:t>
            </w:r>
          </w:p>
        </w:tc>
        <w:tc>
          <w:tcPr>
            <w:tcW w:w="5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Samo završni ispit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7F6D20"/>
        </w:tc>
      </w:tr>
      <w:tr w:rsidR="007F6D20">
        <w:trPr>
          <w:trHeight w:val="444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D20" w:rsidRDefault="007F6D20"/>
        </w:tc>
        <w:tc>
          <w:tcPr>
            <w:tcW w:w="2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widowControl w:val="0"/>
              <w:spacing w:before="20" w:after="20"/>
              <w:jc w:val="center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završni</w:t>
            </w:r>
          </w:p>
          <w:p w:rsidR="007F6D20" w:rsidRDefault="00934C54">
            <w:pPr>
              <w:pStyle w:val="TijeloA"/>
              <w:widowControl w:val="0"/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pismeni ispit</w:t>
            </w: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widowControl w:val="0"/>
              <w:spacing w:before="20" w:after="20"/>
              <w:jc w:val="center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završni</w:t>
            </w:r>
          </w:p>
          <w:p w:rsidR="007F6D20" w:rsidRDefault="00934C54">
            <w:pPr>
              <w:pStyle w:val="TijeloA"/>
              <w:widowControl w:val="0"/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usmeni ispit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widowControl w:val="0"/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pismeni i usmeni završni ispit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widowControl w:val="0"/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praktični rad i završni ispit</w:t>
            </w:r>
          </w:p>
        </w:tc>
      </w:tr>
      <w:tr w:rsidR="007F6D20">
        <w:trPr>
          <w:trHeight w:val="844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D20" w:rsidRDefault="007F6D20"/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widowControl w:val="0"/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samo kolokvij/zadaće</w:t>
            </w:r>
          </w:p>
        </w:tc>
        <w:tc>
          <w:tcPr>
            <w:tcW w:w="1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widowControl w:val="0"/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kolokvij / zadaća i završni ispit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widowControl w:val="0"/>
              <w:spacing w:before="20" w:after="20"/>
              <w:jc w:val="center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seminarski</w:t>
            </w:r>
          </w:p>
          <w:p w:rsidR="007F6D20" w:rsidRDefault="00934C54">
            <w:pPr>
              <w:pStyle w:val="TijeloA"/>
              <w:widowControl w:val="0"/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rad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widowControl w:val="0"/>
              <w:spacing w:before="20" w:after="20"/>
              <w:jc w:val="center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seminarski</w:t>
            </w:r>
          </w:p>
          <w:p w:rsidR="007F6D20" w:rsidRDefault="00934C54">
            <w:pPr>
              <w:pStyle w:val="TijeloA"/>
              <w:widowControl w:val="0"/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rad i završni ispit</w:t>
            </w:r>
          </w:p>
        </w:tc>
        <w:tc>
          <w:tcPr>
            <w:tcW w:w="1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drugi oblici</w:t>
            </w:r>
          </w:p>
        </w:tc>
      </w:tr>
      <w:tr w:rsidR="007F6D20">
        <w:trPr>
          <w:trHeight w:val="42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Način formiranja završne ocjene (%)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npr. 50% samostalno istraživanje i prezentacija, 50% završni ispit</w:t>
            </w:r>
          </w:p>
        </w:tc>
      </w:tr>
      <w:tr w:rsidR="007F6D20">
        <w:trPr>
          <w:trHeight w:val="422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  <w:rPr>
                <w:rStyle w:val="Bez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 xml:space="preserve">Ocjenjivanje </w:t>
            </w:r>
          </w:p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Manje od 60%</w:t>
            </w:r>
          </w:p>
        </w:tc>
        <w:tc>
          <w:tcPr>
            <w:tcW w:w="62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% nedovoljan (1)</w:t>
            </w:r>
          </w:p>
        </w:tc>
      </w:tr>
      <w:tr w:rsidR="007F6D20">
        <w:trPr>
          <w:trHeight w:val="22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D20" w:rsidRDefault="007F6D20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60-70%</w:t>
            </w:r>
          </w:p>
        </w:tc>
        <w:tc>
          <w:tcPr>
            <w:tcW w:w="62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% dovoljan (2)</w:t>
            </w:r>
          </w:p>
        </w:tc>
      </w:tr>
      <w:tr w:rsidR="007F6D20">
        <w:trPr>
          <w:trHeight w:val="22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D20" w:rsidRDefault="007F6D20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70-80%</w:t>
            </w:r>
          </w:p>
        </w:tc>
        <w:tc>
          <w:tcPr>
            <w:tcW w:w="62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% dobar (3)</w:t>
            </w:r>
          </w:p>
        </w:tc>
      </w:tr>
      <w:tr w:rsidR="007F6D20">
        <w:trPr>
          <w:trHeight w:val="22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D20" w:rsidRDefault="007F6D20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80-90%</w:t>
            </w:r>
          </w:p>
        </w:tc>
        <w:tc>
          <w:tcPr>
            <w:tcW w:w="62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% vrlo dobar (4)</w:t>
            </w:r>
          </w:p>
        </w:tc>
      </w:tr>
      <w:tr w:rsidR="007F6D20">
        <w:trPr>
          <w:trHeight w:val="22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D20" w:rsidRDefault="007F6D20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Više od 90%</w:t>
            </w:r>
          </w:p>
        </w:tc>
        <w:tc>
          <w:tcPr>
            <w:tcW w:w="62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% izvrstan (5)</w:t>
            </w:r>
          </w:p>
        </w:tc>
      </w:tr>
      <w:tr w:rsidR="007F6D20">
        <w:trPr>
          <w:trHeight w:val="110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proofErr w:type="spellStart"/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Nač</w:t>
            </w:r>
            <w:proofErr w:type="spellEnd"/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 xml:space="preserve">in </w:t>
            </w:r>
            <w:proofErr w:type="spellStart"/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pra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ćenja</w:t>
            </w:r>
            <w:proofErr w:type="spellEnd"/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 xml:space="preserve"> kvalitete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studentska evaluacija nastave na razini sastavnice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interna evaluacija nastave 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ostalo</w:t>
            </w:r>
          </w:p>
        </w:tc>
      </w:tr>
      <w:tr w:rsidR="007F6D20">
        <w:trPr>
          <w:trHeight w:val="464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Napomena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 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 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Ostalo</w:t>
            </w:r>
          </w:p>
        </w:tc>
        <w:tc>
          <w:tcPr>
            <w:tcW w:w="73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Sukladno čl. 6.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</w:rPr>
              <w:t>čkog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</w:rPr>
              <w:t xml:space="preserve"> kodeksa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</w:t>
            </w:r>
            <w:proofErr w:type="gram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se</w:t>
            </w:r>
            <w:proofErr w:type="gram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ponaša civilizirano, s poštovanjem i bez predrasuda.” 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Prema čl. 14. </w:t>
            </w:r>
            <w:proofErr w:type="spellStart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</w:rPr>
              <w:t>čkog</w:t>
            </w:r>
            <w:proofErr w:type="spellEnd"/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</w:rPr>
              <w:t xml:space="preserve"> kodeksa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Sveučilišta u Zadru, </w:t>
            </w:r>
            <w:proofErr w:type="gram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od</w:t>
            </w:r>
            <w:proofErr w:type="gram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studenata se očekuje „odgovorno i savjesno ispunjavanje obveza. […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pt-PT"/>
              </w:rPr>
              <w:t xml:space="preserve">]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pt-PT"/>
              </w:rPr>
              <w:t>Du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žnost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je studenata/studentica čuvati ugled i dostojanstvo svih članova/članica sveučilišne zajednice i Sveučilišta u Zadru u cjelini, promovirati moralne i akademske vrijednosti i načela.</w:t>
            </w:r>
            <w:r>
              <w:rPr>
                <w:rStyle w:val="Bez"/>
                <w:rFonts w:ascii="Times New Roman" w:hAnsi="Times New Roman"/>
              </w:rPr>
              <w:t xml:space="preserve"> 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pt-PT"/>
              </w:rPr>
              <w:t>[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…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pt-PT"/>
              </w:rPr>
              <w:t xml:space="preserve">] 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Eti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čki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je nedopušten svaki čin koji predstavlja povrjedu akademskog poštenja. To uključuje, ali se ne ograničava samo na: 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</w:t>
            </w:r>
            <w:proofErr w:type="spellStart"/>
            <w:r>
              <w:rPr>
                <w:rStyle w:val="Bez"/>
                <w:rFonts w:ascii="Times New Roman" w:hAnsi="Times New Roman"/>
                <w:sz w:val="18"/>
                <w:szCs w:val="18"/>
              </w:rPr>
              <w:t>dopuš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teno</w:t>
            </w:r>
            <w:proofErr w:type="spellEnd"/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 xml:space="preserve">; 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Style w:val="Bez"/>
                <w:rFonts w:ascii="Arial Unicode MS" w:hAnsi="Arial Unicode MS"/>
                <w:sz w:val="18"/>
                <w:szCs w:val="18"/>
                <w:rtl/>
                <w:lang w:val="ar-SA"/>
              </w:rPr>
              <w:t>“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.</w:t>
            </w: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>
                <w:rPr>
                  <w:rStyle w:val="Hyperlink2"/>
                  <w:rFonts w:eastAsia="Arial Unicode MS"/>
                  <w:sz w:val="18"/>
                  <w:szCs w:val="18"/>
                </w:rPr>
                <w:t>Pravilnik o stegovnoj odgovornosti studenata/studentica Sveučilišta u Zadru</w:t>
              </w:r>
            </w:hyperlink>
            <w:r>
              <w:rPr>
                <w:rStyle w:val="Bez"/>
                <w:rFonts w:ascii="Times New Roman" w:hAnsi="Times New Roman"/>
                <w:sz w:val="18"/>
                <w:szCs w:val="18"/>
              </w:rPr>
              <w:t>.</w:t>
            </w:r>
          </w:p>
          <w:p w:rsidR="007F6D20" w:rsidRDefault="007F6D20">
            <w:pPr>
              <w:pStyle w:val="TijeloA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D20" w:rsidRDefault="00934C54">
            <w:pPr>
              <w:pStyle w:val="TijeloA"/>
              <w:tabs>
                <w:tab w:val="left" w:pos="1218"/>
              </w:tabs>
              <w:spacing w:before="20" w:after="20"/>
              <w:jc w:val="both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F6D20" w:rsidRDefault="007F6D20">
      <w:pPr>
        <w:pStyle w:val="TijeloA"/>
        <w:widowControl w:val="0"/>
        <w:ind w:left="110" w:hanging="110"/>
      </w:pPr>
    </w:p>
    <w:sectPr w:rsidR="007F6D20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43" w:rsidRDefault="00B35243">
      <w:r>
        <w:separator/>
      </w:r>
    </w:p>
  </w:endnote>
  <w:endnote w:type="continuationSeparator" w:id="0">
    <w:p w:rsidR="00B35243" w:rsidRDefault="00B3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20" w:rsidRDefault="007F6D20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43" w:rsidRDefault="00B35243">
      <w:r>
        <w:separator/>
      </w:r>
    </w:p>
  </w:footnote>
  <w:footnote w:type="continuationSeparator" w:id="0">
    <w:p w:rsidR="00B35243" w:rsidRDefault="00B35243">
      <w:r>
        <w:continuationSeparator/>
      </w:r>
    </w:p>
  </w:footnote>
  <w:footnote w:type="continuationNotice" w:id="1">
    <w:p w:rsidR="00B35243" w:rsidRDefault="00B35243"/>
  </w:footnote>
  <w:footnote w:id="2">
    <w:p w:rsidR="007F6D20" w:rsidRDefault="00934C54">
      <w:pPr>
        <w:pStyle w:val="FootnoteTex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*</w:t>
      </w:r>
      <w:r>
        <w:rPr>
          <w:rStyle w:val="BezA"/>
        </w:rPr>
        <w:t xml:space="preserve"> 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20" w:rsidRDefault="00934C54">
    <w:pPr>
      <w:pStyle w:val="Naslov2A"/>
      <w:tabs>
        <w:tab w:val="left" w:pos="1418"/>
      </w:tabs>
      <w:spacing w:before="0" w:after="0"/>
      <w:ind w:left="1560"/>
      <w:rPr>
        <w:rFonts w:ascii="Georgia" w:eastAsia="Georgia" w:hAnsi="Georgia" w:cs="Georgia"/>
        <w:b w:val="0"/>
        <w:bCs w:val="0"/>
        <w:sz w:val="22"/>
        <w:szCs w:val="22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692149</wp:posOffset>
              </wp:positionH>
              <wp:positionV relativeFrom="page">
                <wp:posOffset>181610</wp:posOffset>
              </wp:positionV>
              <wp:extent cx="1163320" cy="957581"/>
              <wp:effectExtent l="0" t="0" r="0" b="0"/>
              <wp:wrapNone/>
              <wp:docPr id="107374182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320" cy="9575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F6D20" w:rsidRDefault="00934C54">
                          <w:pPr>
                            <w:pStyle w:val="TijeloA"/>
                          </w:pPr>
                          <w:r>
                            <w:rPr>
                              <w:rStyle w:val="BezA"/>
                              <w:noProof/>
                            </w:rPr>
                            <w:drawing>
                              <wp:inline distT="0" distB="0" distL="0" distR="0">
                                <wp:extent cx="971550" cy="807865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4.5pt;margin-top:14.3pt;width:91.6pt;height:75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ijelo A"/>
                    </w:pPr>
                    <w:r>
                      <w:rPr>
                        <w:rStyle w:val="Bez A"/>
                      </w:rPr>
                      <w:drawing>
                        <wp:inline distT="0" distB="0" distL="0" distR="0">
                          <wp:extent cx="971550" cy="807865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Fonts w:ascii="Georgia" w:hAnsi="Georgia"/>
        <w:sz w:val="22"/>
        <w:szCs w:val="22"/>
      </w:rPr>
      <w:t>SVEUČ</w:t>
    </w:r>
    <w:r>
      <w:rPr>
        <w:rFonts w:ascii="Georgia" w:hAnsi="Georgia"/>
        <w:sz w:val="22"/>
        <w:szCs w:val="22"/>
        <w:lang w:val="da-DK"/>
      </w:rPr>
      <w:t>ILI</w:t>
    </w:r>
    <w:r>
      <w:rPr>
        <w:rFonts w:ascii="Georgia" w:hAnsi="Georgia"/>
        <w:sz w:val="22"/>
        <w:szCs w:val="22"/>
      </w:rPr>
      <w:t>ŠTE U ZADRU</w:t>
    </w:r>
    <w:r>
      <w:rPr>
        <w:rFonts w:ascii="Georgia" w:hAnsi="Georgia"/>
        <w:sz w:val="22"/>
        <w:szCs w:val="22"/>
      </w:rPr>
      <w:tab/>
    </w:r>
    <w:r>
      <w:rPr>
        <w:rFonts w:ascii="Georgia" w:hAnsi="Georgia"/>
        <w:sz w:val="22"/>
        <w:szCs w:val="22"/>
      </w:rPr>
      <w:tab/>
    </w:r>
  </w:p>
  <w:p w:rsidR="007F6D20" w:rsidRDefault="00934C54">
    <w:pPr>
      <w:pStyle w:val="Naslov2A"/>
      <w:tabs>
        <w:tab w:val="left" w:pos="1418"/>
      </w:tabs>
      <w:spacing w:before="0" w:after="0"/>
      <w:ind w:left="1559"/>
      <w:rPr>
        <w:rFonts w:ascii="Georgia" w:eastAsia="Georgia" w:hAnsi="Georgia" w:cs="Georgia"/>
        <w:b w:val="0"/>
        <w:bCs w:val="0"/>
        <w:sz w:val="22"/>
        <w:szCs w:val="22"/>
      </w:rPr>
    </w:pPr>
    <w:r>
      <w:rPr>
        <w:rFonts w:ascii="Georgia" w:hAnsi="Georgia"/>
        <w:sz w:val="22"/>
        <w:szCs w:val="22"/>
      </w:rPr>
      <w:t xml:space="preserve">UNIVERSITAS STUDIORUM IADERTINA </w:t>
    </w:r>
  </w:p>
  <w:p w:rsidR="007F6D20" w:rsidRDefault="00934C54">
    <w:pPr>
      <w:pStyle w:val="TijeloA"/>
      <w:pBdr>
        <w:bottom w:val="single" w:sz="4" w:space="0" w:color="000000"/>
      </w:pBdr>
      <w:tabs>
        <w:tab w:val="left" w:pos="1418"/>
      </w:tabs>
      <w:spacing w:before="0" w:after="0"/>
      <w:ind w:left="1560"/>
    </w:pPr>
    <w:r>
      <w:rPr>
        <w:rFonts w:ascii="Georgia" w:hAnsi="Georgia"/>
        <w:sz w:val="18"/>
        <w:szCs w:val="18"/>
      </w:rPr>
      <w:t>Obrazac 1.3.2. Izvedbeni plan nastave (</w:t>
    </w:r>
    <w:proofErr w:type="spellStart"/>
    <w:r>
      <w:rPr>
        <w:rFonts w:ascii="Georgia" w:hAnsi="Georgia"/>
        <w:i/>
        <w:iCs/>
        <w:sz w:val="18"/>
        <w:szCs w:val="18"/>
      </w:rPr>
      <w:t>syllabus</w:t>
    </w:r>
    <w:proofErr w:type="spellEnd"/>
    <w:r>
      <w:rPr>
        <w:rFonts w:ascii="Georgia" w:hAnsi="Georg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403D"/>
    <w:multiLevelType w:val="hybridMultilevel"/>
    <w:tmpl w:val="4CBE90C8"/>
    <w:lvl w:ilvl="0" w:tplc="DA42BBB6">
      <w:start w:val="1"/>
      <w:numFmt w:val="decimal"/>
      <w:lvlText w:val="%1."/>
      <w:lvlJc w:val="left"/>
      <w:pPr>
        <w:tabs>
          <w:tab w:val="left" w:pos="1218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E1268">
      <w:start w:val="1"/>
      <w:numFmt w:val="lowerLetter"/>
      <w:lvlText w:val="%2."/>
      <w:lvlJc w:val="left"/>
      <w:pPr>
        <w:tabs>
          <w:tab w:val="left" w:pos="121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E0D20">
      <w:start w:val="1"/>
      <w:numFmt w:val="lowerRoman"/>
      <w:lvlText w:val="%3."/>
      <w:lvlJc w:val="left"/>
      <w:pPr>
        <w:tabs>
          <w:tab w:val="left" w:pos="1218"/>
        </w:tabs>
        <w:ind w:left="25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AFA14">
      <w:start w:val="1"/>
      <w:numFmt w:val="decimal"/>
      <w:lvlText w:val="%4."/>
      <w:lvlJc w:val="left"/>
      <w:pPr>
        <w:tabs>
          <w:tab w:val="left" w:pos="121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70C8FA">
      <w:start w:val="1"/>
      <w:numFmt w:val="lowerLetter"/>
      <w:lvlText w:val="%5."/>
      <w:lvlJc w:val="left"/>
      <w:pPr>
        <w:tabs>
          <w:tab w:val="left" w:pos="121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8A206">
      <w:start w:val="1"/>
      <w:numFmt w:val="lowerRoman"/>
      <w:lvlText w:val="%6."/>
      <w:lvlJc w:val="left"/>
      <w:pPr>
        <w:tabs>
          <w:tab w:val="left" w:pos="1218"/>
        </w:tabs>
        <w:ind w:left="46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2A3214">
      <w:start w:val="1"/>
      <w:numFmt w:val="decimal"/>
      <w:lvlText w:val="%7."/>
      <w:lvlJc w:val="left"/>
      <w:pPr>
        <w:tabs>
          <w:tab w:val="left" w:pos="121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40F88">
      <w:start w:val="1"/>
      <w:numFmt w:val="lowerLetter"/>
      <w:lvlText w:val="%8."/>
      <w:lvlJc w:val="left"/>
      <w:pPr>
        <w:tabs>
          <w:tab w:val="left" w:pos="121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06FDE">
      <w:start w:val="1"/>
      <w:numFmt w:val="lowerRoman"/>
      <w:lvlText w:val="%9."/>
      <w:lvlJc w:val="left"/>
      <w:pPr>
        <w:tabs>
          <w:tab w:val="left" w:pos="1218"/>
        </w:tabs>
        <w:ind w:left="68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3C073F"/>
    <w:multiLevelType w:val="hybridMultilevel"/>
    <w:tmpl w:val="4918A4D6"/>
    <w:lvl w:ilvl="0" w:tplc="3F6452F4">
      <w:start w:val="1"/>
      <w:numFmt w:val="bullet"/>
      <w:lvlText w:val="•"/>
      <w:lvlJc w:val="left"/>
      <w:pPr>
        <w:tabs>
          <w:tab w:val="left" w:pos="20"/>
        </w:tabs>
        <w:ind w:left="1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21170">
      <w:start w:val="1"/>
      <w:numFmt w:val="bullet"/>
      <w:lvlText w:val="•"/>
      <w:lvlJc w:val="left"/>
      <w:pPr>
        <w:tabs>
          <w:tab w:val="left" w:pos="20"/>
        </w:tabs>
        <w:ind w:left="8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A5988">
      <w:start w:val="1"/>
      <w:numFmt w:val="bullet"/>
      <w:lvlText w:val="•"/>
      <w:lvlJc w:val="left"/>
      <w:pPr>
        <w:tabs>
          <w:tab w:val="left" w:pos="20"/>
        </w:tabs>
        <w:ind w:left="16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AF1EE">
      <w:start w:val="1"/>
      <w:numFmt w:val="bullet"/>
      <w:lvlText w:val="•"/>
      <w:lvlJc w:val="left"/>
      <w:pPr>
        <w:tabs>
          <w:tab w:val="left" w:pos="20"/>
        </w:tabs>
        <w:ind w:left="23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B43072">
      <w:start w:val="1"/>
      <w:numFmt w:val="bullet"/>
      <w:lvlText w:val="•"/>
      <w:lvlJc w:val="left"/>
      <w:pPr>
        <w:tabs>
          <w:tab w:val="left" w:pos="20"/>
        </w:tabs>
        <w:ind w:left="305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C080BE">
      <w:start w:val="1"/>
      <w:numFmt w:val="bullet"/>
      <w:lvlText w:val="•"/>
      <w:lvlJc w:val="left"/>
      <w:pPr>
        <w:tabs>
          <w:tab w:val="left" w:pos="20"/>
        </w:tabs>
        <w:ind w:left="37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A5E06">
      <w:start w:val="1"/>
      <w:numFmt w:val="bullet"/>
      <w:lvlText w:val="•"/>
      <w:lvlJc w:val="left"/>
      <w:pPr>
        <w:tabs>
          <w:tab w:val="left" w:pos="20"/>
        </w:tabs>
        <w:ind w:left="44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E23E6">
      <w:start w:val="1"/>
      <w:numFmt w:val="bullet"/>
      <w:lvlText w:val="•"/>
      <w:lvlJc w:val="left"/>
      <w:pPr>
        <w:tabs>
          <w:tab w:val="left" w:pos="20"/>
        </w:tabs>
        <w:ind w:left="52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C9170">
      <w:start w:val="1"/>
      <w:numFmt w:val="bullet"/>
      <w:lvlText w:val="•"/>
      <w:lvlJc w:val="left"/>
      <w:pPr>
        <w:tabs>
          <w:tab w:val="left" w:pos="20"/>
        </w:tabs>
        <w:ind w:left="59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0B21BA4"/>
    <w:multiLevelType w:val="hybridMultilevel"/>
    <w:tmpl w:val="2E086B1C"/>
    <w:lvl w:ilvl="0" w:tplc="79B23288">
      <w:start w:val="1"/>
      <w:numFmt w:val="bullet"/>
      <w:lvlText w:val="•"/>
      <w:lvlJc w:val="left"/>
      <w:pPr>
        <w:tabs>
          <w:tab w:val="left" w:pos="20"/>
        </w:tabs>
        <w:ind w:left="1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42056">
      <w:start w:val="1"/>
      <w:numFmt w:val="bullet"/>
      <w:lvlText w:val="•"/>
      <w:lvlJc w:val="left"/>
      <w:pPr>
        <w:tabs>
          <w:tab w:val="left" w:pos="20"/>
        </w:tabs>
        <w:ind w:left="8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04AB6">
      <w:start w:val="1"/>
      <w:numFmt w:val="bullet"/>
      <w:lvlText w:val="•"/>
      <w:lvlJc w:val="left"/>
      <w:pPr>
        <w:tabs>
          <w:tab w:val="left" w:pos="20"/>
        </w:tabs>
        <w:ind w:left="16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2C0FA0">
      <w:start w:val="1"/>
      <w:numFmt w:val="bullet"/>
      <w:lvlText w:val="•"/>
      <w:lvlJc w:val="left"/>
      <w:pPr>
        <w:tabs>
          <w:tab w:val="left" w:pos="20"/>
        </w:tabs>
        <w:ind w:left="23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2218A">
      <w:start w:val="1"/>
      <w:numFmt w:val="bullet"/>
      <w:lvlText w:val="•"/>
      <w:lvlJc w:val="left"/>
      <w:pPr>
        <w:tabs>
          <w:tab w:val="left" w:pos="20"/>
        </w:tabs>
        <w:ind w:left="305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E6CBE0">
      <w:start w:val="1"/>
      <w:numFmt w:val="bullet"/>
      <w:lvlText w:val="•"/>
      <w:lvlJc w:val="left"/>
      <w:pPr>
        <w:tabs>
          <w:tab w:val="left" w:pos="20"/>
        </w:tabs>
        <w:ind w:left="37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8E9F9E">
      <w:start w:val="1"/>
      <w:numFmt w:val="bullet"/>
      <w:lvlText w:val="•"/>
      <w:lvlJc w:val="left"/>
      <w:pPr>
        <w:tabs>
          <w:tab w:val="left" w:pos="20"/>
        </w:tabs>
        <w:ind w:left="44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AC474C">
      <w:start w:val="1"/>
      <w:numFmt w:val="bullet"/>
      <w:lvlText w:val="•"/>
      <w:lvlJc w:val="left"/>
      <w:pPr>
        <w:tabs>
          <w:tab w:val="left" w:pos="20"/>
        </w:tabs>
        <w:ind w:left="52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8F168">
      <w:start w:val="1"/>
      <w:numFmt w:val="bullet"/>
      <w:lvlText w:val="•"/>
      <w:lvlJc w:val="left"/>
      <w:pPr>
        <w:tabs>
          <w:tab w:val="left" w:pos="20"/>
        </w:tabs>
        <w:ind w:left="59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42702F"/>
    <w:multiLevelType w:val="hybridMultilevel"/>
    <w:tmpl w:val="1E6A4B38"/>
    <w:lvl w:ilvl="0" w:tplc="33383356">
      <w:start w:val="1"/>
      <w:numFmt w:val="bullet"/>
      <w:lvlText w:val="•"/>
      <w:lvlJc w:val="left"/>
      <w:pPr>
        <w:tabs>
          <w:tab w:val="left" w:pos="20"/>
        </w:tabs>
        <w:ind w:left="1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662F2">
      <w:start w:val="1"/>
      <w:numFmt w:val="bullet"/>
      <w:lvlText w:val="•"/>
      <w:lvlJc w:val="left"/>
      <w:pPr>
        <w:tabs>
          <w:tab w:val="left" w:pos="20"/>
        </w:tabs>
        <w:ind w:left="8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4C98E2">
      <w:start w:val="1"/>
      <w:numFmt w:val="bullet"/>
      <w:lvlText w:val="•"/>
      <w:lvlJc w:val="left"/>
      <w:pPr>
        <w:tabs>
          <w:tab w:val="left" w:pos="20"/>
        </w:tabs>
        <w:ind w:left="16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A67910">
      <w:start w:val="1"/>
      <w:numFmt w:val="bullet"/>
      <w:lvlText w:val="•"/>
      <w:lvlJc w:val="left"/>
      <w:pPr>
        <w:tabs>
          <w:tab w:val="left" w:pos="20"/>
        </w:tabs>
        <w:ind w:left="23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EA85C">
      <w:start w:val="1"/>
      <w:numFmt w:val="bullet"/>
      <w:lvlText w:val="•"/>
      <w:lvlJc w:val="left"/>
      <w:pPr>
        <w:tabs>
          <w:tab w:val="left" w:pos="20"/>
        </w:tabs>
        <w:ind w:left="305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23AE2">
      <w:start w:val="1"/>
      <w:numFmt w:val="bullet"/>
      <w:lvlText w:val="•"/>
      <w:lvlJc w:val="left"/>
      <w:pPr>
        <w:tabs>
          <w:tab w:val="left" w:pos="20"/>
        </w:tabs>
        <w:ind w:left="37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6C4940">
      <w:start w:val="1"/>
      <w:numFmt w:val="bullet"/>
      <w:lvlText w:val="•"/>
      <w:lvlJc w:val="left"/>
      <w:pPr>
        <w:tabs>
          <w:tab w:val="left" w:pos="20"/>
        </w:tabs>
        <w:ind w:left="44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ADA7E">
      <w:start w:val="1"/>
      <w:numFmt w:val="bullet"/>
      <w:lvlText w:val="•"/>
      <w:lvlJc w:val="left"/>
      <w:pPr>
        <w:tabs>
          <w:tab w:val="left" w:pos="20"/>
        </w:tabs>
        <w:ind w:left="52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E254DC">
      <w:start w:val="1"/>
      <w:numFmt w:val="bullet"/>
      <w:lvlText w:val="•"/>
      <w:lvlJc w:val="left"/>
      <w:pPr>
        <w:tabs>
          <w:tab w:val="left" w:pos="20"/>
        </w:tabs>
        <w:ind w:left="59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 w:tplc="33383356">
        <w:start w:val="1"/>
        <w:numFmt w:val="bullet"/>
        <w:lvlText w:val="•"/>
        <w:lvlJc w:val="left"/>
        <w:pPr>
          <w:tabs>
            <w:tab w:val="left" w:pos="20"/>
          </w:tabs>
          <w:ind w:left="17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5662F2">
        <w:start w:val="1"/>
        <w:numFmt w:val="bullet"/>
        <w:lvlText w:val="•"/>
        <w:lvlJc w:val="left"/>
        <w:pPr>
          <w:tabs>
            <w:tab w:val="left" w:pos="20"/>
          </w:tabs>
          <w:ind w:left="89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4C98E2">
        <w:start w:val="1"/>
        <w:numFmt w:val="bullet"/>
        <w:lvlText w:val="•"/>
        <w:lvlJc w:val="left"/>
        <w:pPr>
          <w:tabs>
            <w:tab w:val="left" w:pos="20"/>
          </w:tabs>
          <w:ind w:left="161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A67910">
        <w:start w:val="1"/>
        <w:numFmt w:val="bullet"/>
        <w:lvlText w:val="•"/>
        <w:lvlJc w:val="left"/>
        <w:pPr>
          <w:tabs>
            <w:tab w:val="left" w:pos="20"/>
          </w:tabs>
          <w:ind w:left="233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AEA85C">
        <w:start w:val="1"/>
        <w:numFmt w:val="bullet"/>
        <w:lvlText w:val="•"/>
        <w:lvlJc w:val="left"/>
        <w:pPr>
          <w:tabs>
            <w:tab w:val="left" w:pos="20"/>
          </w:tabs>
          <w:ind w:left="305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523AE2">
        <w:start w:val="1"/>
        <w:numFmt w:val="bullet"/>
        <w:lvlText w:val="•"/>
        <w:lvlJc w:val="left"/>
        <w:pPr>
          <w:tabs>
            <w:tab w:val="left" w:pos="20"/>
          </w:tabs>
          <w:ind w:left="377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6C4940">
        <w:start w:val="1"/>
        <w:numFmt w:val="bullet"/>
        <w:lvlText w:val="•"/>
        <w:lvlJc w:val="left"/>
        <w:pPr>
          <w:tabs>
            <w:tab w:val="left" w:pos="20"/>
          </w:tabs>
          <w:ind w:left="449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4ADA7E">
        <w:start w:val="1"/>
        <w:numFmt w:val="bullet"/>
        <w:lvlText w:val="•"/>
        <w:lvlJc w:val="left"/>
        <w:pPr>
          <w:tabs>
            <w:tab w:val="left" w:pos="20"/>
          </w:tabs>
          <w:ind w:left="521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E254DC">
        <w:start w:val="1"/>
        <w:numFmt w:val="bullet"/>
        <w:lvlText w:val="•"/>
        <w:lvlJc w:val="left"/>
        <w:pPr>
          <w:tabs>
            <w:tab w:val="left" w:pos="20"/>
          </w:tabs>
          <w:ind w:left="593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33383356">
        <w:start w:val="1"/>
        <w:numFmt w:val="bullet"/>
        <w:lvlText w:val="•"/>
        <w:lvlJc w:val="left"/>
        <w:pPr>
          <w:tabs>
            <w:tab w:val="left" w:pos="20"/>
            <w:tab w:val="left" w:pos="1218"/>
          </w:tabs>
          <w:ind w:left="17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5662F2">
        <w:start w:val="1"/>
        <w:numFmt w:val="bullet"/>
        <w:lvlText w:val="•"/>
        <w:lvlJc w:val="left"/>
        <w:pPr>
          <w:tabs>
            <w:tab w:val="left" w:pos="20"/>
            <w:tab w:val="left" w:pos="1218"/>
          </w:tabs>
          <w:ind w:left="89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4C98E2">
        <w:start w:val="1"/>
        <w:numFmt w:val="bullet"/>
        <w:lvlText w:val="•"/>
        <w:lvlJc w:val="left"/>
        <w:pPr>
          <w:tabs>
            <w:tab w:val="left" w:pos="20"/>
            <w:tab w:val="left" w:pos="1218"/>
          </w:tabs>
          <w:ind w:left="161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A67910">
        <w:start w:val="1"/>
        <w:numFmt w:val="bullet"/>
        <w:lvlText w:val="•"/>
        <w:lvlJc w:val="left"/>
        <w:pPr>
          <w:tabs>
            <w:tab w:val="left" w:pos="20"/>
            <w:tab w:val="left" w:pos="1218"/>
          </w:tabs>
          <w:ind w:left="233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AEA85C">
        <w:start w:val="1"/>
        <w:numFmt w:val="bullet"/>
        <w:lvlText w:val="•"/>
        <w:lvlJc w:val="left"/>
        <w:pPr>
          <w:tabs>
            <w:tab w:val="left" w:pos="20"/>
            <w:tab w:val="left" w:pos="1218"/>
          </w:tabs>
          <w:ind w:left="305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523AE2">
        <w:start w:val="1"/>
        <w:numFmt w:val="bullet"/>
        <w:lvlText w:val="•"/>
        <w:lvlJc w:val="left"/>
        <w:pPr>
          <w:tabs>
            <w:tab w:val="left" w:pos="20"/>
            <w:tab w:val="left" w:pos="1218"/>
          </w:tabs>
          <w:ind w:left="377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6C4940">
        <w:start w:val="1"/>
        <w:numFmt w:val="bullet"/>
        <w:lvlText w:val="•"/>
        <w:lvlJc w:val="left"/>
        <w:pPr>
          <w:tabs>
            <w:tab w:val="left" w:pos="20"/>
            <w:tab w:val="left" w:pos="1218"/>
          </w:tabs>
          <w:ind w:left="449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4ADA7E">
        <w:start w:val="1"/>
        <w:numFmt w:val="bullet"/>
        <w:lvlText w:val="•"/>
        <w:lvlJc w:val="left"/>
        <w:pPr>
          <w:tabs>
            <w:tab w:val="left" w:pos="20"/>
            <w:tab w:val="left" w:pos="1218"/>
          </w:tabs>
          <w:ind w:left="521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E254DC">
        <w:start w:val="1"/>
        <w:numFmt w:val="bullet"/>
        <w:lvlText w:val="•"/>
        <w:lvlJc w:val="left"/>
        <w:pPr>
          <w:tabs>
            <w:tab w:val="left" w:pos="20"/>
            <w:tab w:val="left" w:pos="1218"/>
          </w:tabs>
          <w:ind w:left="593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1"/>
    <w:lvlOverride w:ilvl="0">
      <w:lvl w:ilvl="0" w:tplc="3F6452F4">
        <w:start w:val="1"/>
        <w:numFmt w:val="bullet"/>
        <w:lvlText w:val="•"/>
        <w:lvlJc w:val="left"/>
        <w:pPr>
          <w:tabs>
            <w:tab w:val="left" w:pos="20"/>
          </w:tabs>
          <w:ind w:left="208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E721170">
        <w:start w:val="1"/>
        <w:numFmt w:val="bullet"/>
        <w:lvlText w:val="•"/>
        <w:lvlJc w:val="left"/>
        <w:pPr>
          <w:tabs>
            <w:tab w:val="left" w:pos="20"/>
          </w:tabs>
          <w:ind w:left="928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9FA5988">
        <w:start w:val="1"/>
        <w:numFmt w:val="bullet"/>
        <w:lvlText w:val="•"/>
        <w:lvlJc w:val="left"/>
        <w:pPr>
          <w:tabs>
            <w:tab w:val="left" w:pos="20"/>
          </w:tabs>
          <w:ind w:left="1648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74AF1EE">
        <w:start w:val="1"/>
        <w:numFmt w:val="bullet"/>
        <w:lvlText w:val="•"/>
        <w:lvlJc w:val="left"/>
        <w:pPr>
          <w:tabs>
            <w:tab w:val="left" w:pos="20"/>
          </w:tabs>
          <w:ind w:left="2368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5B43072">
        <w:start w:val="1"/>
        <w:numFmt w:val="bullet"/>
        <w:lvlText w:val="•"/>
        <w:lvlJc w:val="left"/>
        <w:pPr>
          <w:tabs>
            <w:tab w:val="left" w:pos="20"/>
          </w:tabs>
          <w:ind w:left="3088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1C080BE">
        <w:start w:val="1"/>
        <w:numFmt w:val="bullet"/>
        <w:lvlText w:val="•"/>
        <w:lvlJc w:val="left"/>
        <w:pPr>
          <w:tabs>
            <w:tab w:val="left" w:pos="20"/>
          </w:tabs>
          <w:ind w:left="3808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06A5E06">
        <w:start w:val="1"/>
        <w:numFmt w:val="bullet"/>
        <w:lvlText w:val="•"/>
        <w:lvlJc w:val="left"/>
        <w:pPr>
          <w:tabs>
            <w:tab w:val="left" w:pos="20"/>
          </w:tabs>
          <w:ind w:left="4528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48E23E6">
        <w:start w:val="1"/>
        <w:numFmt w:val="bullet"/>
        <w:lvlText w:val="•"/>
        <w:lvlJc w:val="left"/>
        <w:pPr>
          <w:tabs>
            <w:tab w:val="left" w:pos="20"/>
          </w:tabs>
          <w:ind w:left="5248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D5C9170">
        <w:start w:val="1"/>
        <w:numFmt w:val="bullet"/>
        <w:lvlText w:val="•"/>
        <w:lvlJc w:val="left"/>
        <w:pPr>
          <w:tabs>
            <w:tab w:val="left" w:pos="20"/>
          </w:tabs>
          <w:ind w:left="5968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20"/>
    <w:rsid w:val="00416183"/>
    <w:rsid w:val="005E4A1E"/>
    <w:rsid w:val="007F6D20"/>
    <w:rsid w:val="00934C54"/>
    <w:rsid w:val="00B35243"/>
    <w:rsid w:val="00E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9A6265"/>
  <w15:docId w15:val="{13B33FBC-DCA3-3140-86DF-2A505076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slov2A">
    <w:name w:val="Naslov 2 A"/>
    <w:pPr>
      <w:spacing w:before="100" w:after="100"/>
      <w:outlineLvl w:val="0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jeloA">
    <w:name w:val="Tijelo A"/>
    <w:pPr>
      <w:spacing w:before="120" w:after="120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ezA">
    <w:name w:val="Bez A"/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Bez">
    <w:name w:val="Bez"/>
  </w:style>
  <w:style w:type="character" w:customStyle="1" w:styleId="Hyperlink0">
    <w:name w:val="Hyperlink.0"/>
    <w:basedOn w:val="Bez"/>
    <w:rPr>
      <w:rFonts w:ascii="Times New Roman" w:eastAsia="Times New Roman" w:hAnsi="Times New Roman" w:cs="Times New Roman"/>
      <w:outline w:val="0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TijeloB">
    <w:name w:val="Tijelo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Bez"/>
    <w:rPr>
      <w:rFonts w:ascii="Times New Roman" w:eastAsia="Times New Roman" w:hAnsi="Times New Roman" w:cs="Times New Roman"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nija@gmail.com" TargetMode="External"/><Relationship Id="rId13" Type="http://schemas.openxmlformats.org/officeDocument/2006/relationships/hyperlink" Target="https://digital.bodleian.ox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zornija@unizd.hr" TargetMode="External"/><Relationship Id="rId12" Type="http://schemas.openxmlformats.org/officeDocument/2006/relationships/hyperlink" Target="https://digi.vatlib.it/ms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peana.eu/portal/en/collections/manuscrip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http://www.bl.uk/catalogues/illuminatedmanuscripts/introduction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l.uk/medieval-english-french-manuscripts/articles/how-to-make-a-medieval-manuscript" TargetMode="External"/><Relationship Id="rId14" Type="http://schemas.openxmlformats.org/officeDocument/2006/relationships/hyperlink" Target="https://www.themorgan.org/manuscripts/li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2020-03-10T13:14:00Z</dcterms:created>
  <dcterms:modified xsi:type="dcterms:W3CDTF">2020-03-10T13:50:00Z</dcterms:modified>
</cp:coreProperties>
</file>