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8"/>
        <w:gridCol w:w="358"/>
        <w:gridCol w:w="359"/>
        <w:gridCol w:w="160"/>
        <w:gridCol w:w="170"/>
        <w:gridCol w:w="170"/>
        <w:gridCol w:w="160"/>
        <w:gridCol w:w="160"/>
        <w:gridCol w:w="160"/>
        <w:gridCol w:w="160"/>
        <w:gridCol w:w="175"/>
        <w:gridCol w:w="160"/>
        <w:gridCol w:w="247"/>
        <w:gridCol w:w="360"/>
        <w:gridCol w:w="160"/>
        <w:gridCol w:w="160"/>
        <w:gridCol w:w="245"/>
        <w:gridCol w:w="342"/>
        <w:gridCol w:w="188"/>
        <w:gridCol w:w="160"/>
        <w:gridCol w:w="449"/>
        <w:gridCol w:w="392"/>
        <w:gridCol w:w="160"/>
        <w:gridCol w:w="160"/>
        <w:gridCol w:w="163"/>
        <w:gridCol w:w="348"/>
        <w:gridCol w:w="185"/>
        <w:gridCol w:w="183"/>
        <w:gridCol w:w="171"/>
        <w:gridCol w:w="172"/>
        <w:gridCol w:w="99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Naziv kolegija </w:t>
            </w:r>
          </w:p>
        </w:tc>
        <w:tc>
          <w:tcPr>
            <w:tcW w:type="dxa" w:w="5214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UMJETNOST RANOG KR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ŠĆ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ANSTVA I BIZANTA</w:t>
            </w:r>
          </w:p>
        </w:tc>
        <w:tc>
          <w:tcPr>
            <w:tcW w:type="dxa" w:w="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akad. god.</w:t>
            </w:r>
          </w:p>
        </w:tc>
        <w:tc>
          <w:tcPr>
            <w:tcW w:type="dxa" w:w="15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2019./2020.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Naziv studija</w:t>
            </w:r>
          </w:p>
        </w:tc>
        <w:tc>
          <w:tcPr>
            <w:tcW w:type="dxa" w:w="5214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</w:pPr>
            <w:r>
              <w:rPr>
                <w:rFonts w:ascii="Times New Roman" w:hAnsi="Times New Roman"/>
                <w:rtl w:val="0"/>
                <w:lang w:val="en-US"/>
              </w:rPr>
              <w:t>Preddiplomski dvopredmetni sveu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rtl w:val="0"/>
                <w:lang w:val="en-US"/>
              </w:rPr>
              <w:t>ili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rtl w:val="0"/>
                <w:lang w:val="en-US"/>
              </w:rPr>
              <w:t>ni studij povijesti umjetnosti</w:t>
            </w:r>
          </w:p>
        </w:tc>
        <w:tc>
          <w:tcPr>
            <w:tcW w:type="dxa" w:w="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pt-PT"/>
              </w:rPr>
              <w:t>ECTS</w:t>
            </w:r>
          </w:p>
        </w:tc>
        <w:tc>
          <w:tcPr>
            <w:tcW w:type="dxa" w:w="15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Sastavnica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Odjel za povijest umjetnosti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Razina studija</w:t>
            </w:r>
          </w:p>
        </w:tc>
        <w:tc>
          <w:tcPr>
            <w:tcW w:type="dxa" w:w="185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preddiplomski </w:t>
            </w:r>
          </w:p>
        </w:tc>
        <w:tc>
          <w:tcPr>
            <w:tcW w:type="dxa" w:w="15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diplomski</w:t>
            </w:r>
          </w:p>
        </w:tc>
        <w:tc>
          <w:tcPr>
            <w:tcW w:type="dxa" w:w="185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integrirani</w:t>
            </w:r>
          </w:p>
        </w:tc>
        <w:tc>
          <w:tcPr>
            <w:tcW w:type="dxa" w:w="221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poslijediplomski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Vrsta studija</w:t>
            </w:r>
          </w:p>
        </w:tc>
        <w:tc>
          <w:tcPr>
            <w:tcW w:type="dxa" w:w="185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jednopredmetni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dvopredmetni</w:t>
            </w:r>
          </w:p>
        </w:tc>
        <w:tc>
          <w:tcPr>
            <w:tcW w:type="dxa" w:w="150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sveu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ili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</w:t>
            </w:r>
          </w:p>
        </w:tc>
        <w:tc>
          <w:tcPr>
            <w:tcW w:type="dxa" w:w="185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stru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</w:t>
            </w:r>
          </w:p>
        </w:tc>
        <w:tc>
          <w:tcPr>
            <w:tcW w:type="dxa" w:w="221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specijalisti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ki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Godina studija</w:t>
            </w:r>
          </w:p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1.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2.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3.</w:t>
            </w:r>
          </w:p>
        </w:tc>
        <w:tc>
          <w:tcPr>
            <w:tcW w:type="dxa" w:w="15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4.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5.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Semestar</w:t>
            </w:r>
          </w:p>
        </w:tc>
        <w:tc>
          <w:tcPr>
            <w:tcW w:type="dxa" w:w="876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zimski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ljetni</w:t>
            </w:r>
          </w:p>
        </w:tc>
        <w:tc>
          <w:tcPr>
            <w:tcW w:type="dxa" w:w="156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I.</w:t>
            </w:r>
          </w:p>
        </w:tc>
        <w:tc>
          <w:tcPr>
            <w:tcW w:type="dxa" w:w="12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II.</w:t>
            </w:r>
          </w:p>
        </w:tc>
        <w:tc>
          <w:tcPr>
            <w:tcW w:type="dxa" w:w="11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III.</w:t>
            </w:r>
          </w:p>
        </w:tc>
        <w:tc>
          <w:tcPr>
            <w:tcW w:type="dxa" w:w="13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IV.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V.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876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VI.</w:t>
            </w:r>
          </w:p>
        </w:tc>
        <w:tc>
          <w:tcPr>
            <w:tcW w:type="dxa" w:w="126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VII.</w:t>
            </w:r>
          </w:p>
        </w:tc>
        <w:tc>
          <w:tcPr>
            <w:tcW w:type="dxa" w:w="11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VIII.</w:t>
            </w:r>
          </w:p>
        </w:tc>
        <w:tc>
          <w:tcPr>
            <w:tcW w:type="dxa" w:w="13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IX.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X.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Status kolegija</w:t>
            </w:r>
          </w:p>
        </w:tc>
        <w:tc>
          <w:tcPr>
            <w:tcW w:type="dxa" w:w="8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obvezni kolegij</w:t>
            </w:r>
          </w:p>
        </w:tc>
        <w:tc>
          <w:tcPr>
            <w:tcW w:type="dxa" w:w="1562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izborni kolegij</w:t>
            </w:r>
          </w:p>
        </w:tc>
        <w:tc>
          <w:tcPr>
            <w:tcW w:type="dxa" w:w="245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izborni kolegij koji se nudi studentima drugih odjela</w:t>
            </w:r>
          </w:p>
        </w:tc>
        <w:tc>
          <w:tcPr>
            <w:tcW w:type="dxa" w:w="13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Nastavni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ke kompetencije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 DA </w:t>
            </w: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 NE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Optere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enje</w:t>
            </w:r>
          </w:p>
        </w:tc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</w:t>
            </w:r>
          </w:p>
        </w:tc>
        <w:tc>
          <w:tcPr>
            <w:tcW w:type="dxa" w:w="5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S</w:t>
            </w:r>
          </w:p>
        </w:tc>
        <w:tc>
          <w:tcPr>
            <w:tcW w:type="dxa" w:w="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V</w:t>
            </w:r>
          </w:p>
        </w:tc>
        <w:tc>
          <w:tcPr>
            <w:tcW w:type="dxa" w:w="3826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Mre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 stranice kolegija u sustavu za e-u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enje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 DA </w:t>
            </w: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 NE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Mjesto i vrijeme izvo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nastave</w:t>
            </w:r>
          </w:p>
        </w:tc>
        <w:tc>
          <w:tcPr>
            <w:tcW w:type="dxa" w:w="2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dv. 113 (P)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dv. 113 (S)</w:t>
            </w:r>
          </w:p>
        </w:tc>
        <w:tc>
          <w:tcPr>
            <w:tcW w:type="dxa" w:w="3826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Jezik/jezici na kojima se izvodi kolegij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hrvatski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etak nastave</w:t>
            </w:r>
          </w:p>
        </w:tc>
        <w:tc>
          <w:tcPr>
            <w:tcW w:type="dxa" w:w="243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  <w:jc w:val="center"/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rtl w:val="0"/>
              </w:rPr>
              <w:t>24. 2. 2020.</w:t>
            </w:r>
          </w:p>
        </w:tc>
        <w:tc>
          <w:tcPr>
            <w:tcW w:type="dxa" w:w="3826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Zavr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etak nastave</w:t>
            </w:r>
          </w:p>
        </w:tc>
        <w:tc>
          <w:tcPr>
            <w:tcW w:type="dxa" w:w="11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5. 6. 2020.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Preduvjeti za upis kolegija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upisan studij povijesti umjetnosti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076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Nositelj kolegija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doc. dr. sc. Meri Zornija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right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E-mail</w:t>
            </w:r>
          </w:p>
        </w:tc>
        <w:tc>
          <w:tcPr>
            <w:tcW w:type="dxa" w:w="4053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"mailto:mezornija@unizd.hr"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18"/>
                <w:szCs w:val="18"/>
                <w:u w:val="singl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mezornija@unizd.hr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  <w:tc>
          <w:tcPr>
            <w:tcW w:type="dxa" w:w="1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Konzultacije</w:t>
            </w:r>
          </w:p>
        </w:tc>
        <w:tc>
          <w:tcPr>
            <w:tcW w:type="dxa" w:w="221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Izvo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č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kolegija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doc. dr. sc. Meri Zornija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jc w:val="right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E-mail</w:t>
            </w:r>
          </w:p>
        </w:tc>
        <w:tc>
          <w:tcPr>
            <w:tcW w:type="dxa" w:w="4053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Konzultacije</w:t>
            </w:r>
          </w:p>
        </w:tc>
        <w:tc>
          <w:tcPr>
            <w:tcW w:type="dxa" w:w="221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076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Vrste izvo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nastave</w:t>
            </w:r>
          </w:p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predavanja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seminari i radionice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vje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be</w:t>
            </w:r>
          </w:p>
        </w:tc>
        <w:tc>
          <w:tcPr>
            <w:tcW w:type="dxa" w:w="15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e-u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enje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terenska nastava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samostalni zadaci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multimedija i mre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laboratorij</w:t>
            </w:r>
          </w:p>
        </w:tc>
        <w:tc>
          <w:tcPr>
            <w:tcW w:type="dxa" w:w="15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mentorski rad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ostalo</w:t>
            </w:r>
          </w:p>
        </w:tc>
      </w:tr>
      <w:tr>
        <w:tblPrEx>
          <w:shd w:val="clear" w:color="auto" w:fill="ced7e7"/>
        </w:tblPrEx>
        <w:trPr>
          <w:trHeight w:val="2002" w:hRule="atLeast"/>
        </w:trPr>
        <w:tc>
          <w:tcPr>
            <w:tcW w:type="dxa" w:w="318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Ishodi 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kolegija</w:t>
            </w:r>
          </w:p>
        </w:tc>
        <w:tc>
          <w:tcPr>
            <w:tcW w:type="dxa" w:w="5890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 identificiranje temeljnih karakteristika stila razdoblja i komentiranje putem kori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tenja ilustrativnog materijala;</w:t>
            </w:r>
          </w:p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 analiziranje i kriti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ka prosudba likovnih djela i arhitekture razdoblja uz primjenu relevantnih znanja i vje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tina ste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enih na doti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nom kolegiju;</w:t>
            </w:r>
          </w:p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 sposobnost razumijevanja i obja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njenja osnovnih likovnih i arhitektonskih fenomena razdoblja</w:t>
            </w:r>
          </w:p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 klasificiranje gra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 kolegija u jasne opisne kategorije vezane uz ranokr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ansku i bizantsku umjetnost</w:t>
            </w:r>
          </w:p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 samostalna priprema i prezentiranje seminarske teme na pismeni i usmeni na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in prema unaprijed odre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enoj metodologiji 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318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Ishodi 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na razini programa kojima kolegij doprinosi</w:t>
            </w:r>
          </w:p>
        </w:tc>
        <w:tc>
          <w:tcPr>
            <w:tcW w:type="dxa" w:w="5890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  <w:bidi w:val="0"/>
              <w:ind w:left="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Primjena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ste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eno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g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znanj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u svrhu razumijevanja op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eg razvoja umjetnosti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076"/>
            <w:gridSpan w:val="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ini pra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studenata</w:t>
            </w:r>
          </w:p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poha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đ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anje nastave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priprema za nastavu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doma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 zada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</w:t>
            </w:r>
          </w:p>
        </w:tc>
        <w:tc>
          <w:tcPr>
            <w:tcW w:type="dxa" w:w="15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kontinuirana evaluacija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istra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ivanje</w:t>
            </w:r>
          </w:p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prakti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 rad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eksperimentalni rad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izlaganje</w:t>
            </w:r>
          </w:p>
        </w:tc>
        <w:tc>
          <w:tcPr>
            <w:tcW w:type="dxa" w:w="15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projekt</w:t>
            </w:r>
          </w:p>
        </w:tc>
        <w:tc>
          <w:tcPr>
            <w:tcW w:type="dxa" w:w="13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seminar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3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kolokvij(i)</w:t>
            </w:r>
          </w:p>
        </w:tc>
        <w:tc>
          <w:tcPr>
            <w:tcW w:type="dxa" w:w="158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pismeni ispit</w:t>
            </w:r>
          </w:p>
        </w:tc>
        <w:tc>
          <w:tcPr>
            <w:tcW w:type="dxa" w:w="13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usmeni ispit</w:t>
            </w:r>
          </w:p>
        </w:tc>
        <w:tc>
          <w:tcPr>
            <w:tcW w:type="dxa" w:w="2924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ostalo: </w:t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Uvjeti pristupanja ispitu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note text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Studenti su du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ni odslu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ati najmanje 70% predavanja, te sudjelovati u radu i diskusiji na najmanje 70% seminara (u slu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aju kolizije 40% predavanja i 40% seminara).</w:t>
            </w:r>
          </w:p>
          <w:p>
            <w:pPr>
              <w:pStyle w:val="footnote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Studenti su du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ni izraditi seminarski rad u pismenom obliku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(5-10 kartica teksta)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te ga prezentirati  u vidu  usmenog izlaganja (najmanje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minuta trajanja).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Ispitni rokovi</w:t>
            </w:r>
          </w:p>
        </w:tc>
        <w:tc>
          <w:tcPr>
            <w:tcW w:type="dxa" w:w="2958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明朝" w:hAnsi="ＭＳ 明朝" w:hint="default"/>
                <w:sz w:val="18"/>
                <w:szCs w:val="18"/>
                <w:rtl w:val="0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zimski ispitni rok </w:t>
            </w:r>
          </w:p>
        </w:tc>
        <w:tc>
          <w:tcPr>
            <w:tcW w:type="dxa" w:w="241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ljetni ispitni rok</w:t>
            </w:r>
          </w:p>
        </w:tc>
        <w:tc>
          <w:tcPr>
            <w:tcW w:type="dxa" w:w="20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jesenski ispitni rok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Termini ispitnih rokova</w:t>
            </w:r>
          </w:p>
        </w:tc>
        <w:tc>
          <w:tcPr>
            <w:tcW w:type="dxa" w:w="2958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Opis kolegija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footnote text"/>
              <w:ind w:left="28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Stjecanje temeljnih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injeni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nih i teorijskih spoznaja o ranokr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anskoj i bizantskoj umjetnosti na podru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ju mediteranskog bazena i balkanskog poluotoka, uz kriti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ko razumijevanje osnovnih fenomena i prepoznavanje najva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nijih djela likovnih umjetnosti i arhitekture u razdoblju od 4. do sredine 15. stolje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a.</w:t>
            </w:r>
          </w:p>
        </w:tc>
      </w:tr>
      <w:tr>
        <w:tblPrEx>
          <w:shd w:val="clear" w:color="auto" w:fill="ced7e7"/>
        </w:tblPrEx>
        <w:trPr>
          <w:trHeight w:val="64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Sadr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aj kolegija (nastavne teme)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RANOKR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ANSKA UMJETNOST</w:t>
            </w:r>
          </w:p>
          <w:p>
            <w:pPr>
              <w:pStyle w:val="footnote text"/>
              <w:ind w:left="28" w:firstLine="0"/>
              <w:rPr>
                <w:rFonts w:ascii="Arial Narrow" w:cs="Arial Narrow" w:hAnsi="Arial Narrow" w:eastAsia="Arial Narrow"/>
                <w:b w:val="1"/>
                <w:bCs w:val="1"/>
                <w:sz w:val="2"/>
                <w:szCs w:val="2"/>
              </w:rPr>
            </w:pP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Uvodno predavanje: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povijesni kontekst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(kriza tre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eg stolje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 u rimskom dru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tvu i umjetnosti, va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nost Dioklecijanovih reformi)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; rimska umjetnost u doba tetrarhije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- najva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niji spomenici (Dioklecijanova pala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a, Piazza Armerina)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Konstantinove dinastije u prvoj polovici 4. stolje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a: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 xml:space="preserve"> pojava kr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anstva i prvi va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ni kr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anski projekti u Rimu i Palestini; osnutak Konstantinopola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Ranokr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anske memorije i groblja: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 xml:space="preserve"> slikarstvo rimskih katakombi i monumentalno slikarstvo 4. stolje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a (Santa Constanza); umjetost sarkofaga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Teodozijeve dinastije: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 xml:space="preserve"> arhitektura velikih kr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anskih sredi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ta na Zapadu (Aquileia, Milano, Trier, Rim)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Teodozijeve dinastije II: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 xml:space="preserve"> arhitektura i mozaici Ravenne u 5. st.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Ranokr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anska umjetnost Istoka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: Konstantinopol, Solun, Mala Azija, Sirija, Egipat i sjeverna Afrika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Justinijanovog razdoblja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: Konstantinopol i Ravenna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Primijenjena umjetnost do 7. stolje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a: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 xml:space="preserve"> knji</w:t>
            </w:r>
            <w:r>
              <w:rPr>
                <w:rFonts w:ascii="Times New Roman" w:hAnsi="Times New Roman" w:hint="default"/>
                <w:sz w:val="18"/>
                <w:szCs w:val="18"/>
                <w:u w:val="none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val="none"/>
                <w:rtl w:val="0"/>
                <w:lang w:val="en-US"/>
              </w:rPr>
              <w:t>no slikarstvo, produkcija bjelokosti i zlatarstvo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u w:val="none"/>
                <w:rtl w:val="0"/>
                <w:lang w:val="en-US"/>
              </w:rPr>
            </w:pP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u w:val="none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val="none"/>
                <w:rtl w:val="0"/>
                <w:lang w:val="en-US"/>
              </w:rPr>
              <w:t>BIZANTSKA UMJETNOST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ikonoklazma i bizantska umjetnost u doba Makedonske dinastije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: arhitektura (razvoj crkve tipa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>quincunx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) i monumentalno slikarstvo (Konstantinopol, Solun, Kapadocija)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Bizantska umjetnost u doba Makedonske dinastije II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: knji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no slikarstvo i primijenjena umjetnost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Bizantska umjetnost 11. stolje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poglavito slikarstvo (tzv.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>strogi stil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): gr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ki manastiri, Kijev, Ohrid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Bizantska umjetnost u doba Komnenske dinastije: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tzv. klasi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no razdoblje bizantske umj. u Konstantinopolu i na mati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nom tlu te na slavenskom podru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ju (posebno Makedonija)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Bizantska umjetnost 12. stolje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a na Apeninskom poluotoku: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Venecija i lagune, Sicilija (Palermo, Monreale)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Bizantska umjetnost u 13. stolje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: slikarstvo tzv.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>plasti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>nog stila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na Balkanu (Srbija, Kosovo,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Makedonija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</w:p>
          <w:p>
            <w:pPr>
              <w:pStyle w:val="Tijelo"/>
              <w:numPr>
                <w:ilvl w:val="0"/>
                <w:numId w:val="1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Umjetnost u razdoblju Paleolo</w:t>
            </w:r>
            <w:r>
              <w:rPr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š</w:t>
            </w:r>
            <w:r>
              <w:rPr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ke dinastije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: Konstantinopol, Solun, Mistra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u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Obvezna literatura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numPr>
                <w:ilvl w:val="0"/>
                <w:numId w:val="2"/>
              </w:numPr>
              <w:bidi w:val="0"/>
              <w:spacing w:before="20" w:after="20"/>
              <w:ind w:right="0"/>
              <w:jc w:val="both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L. Rodley,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Byzantine art and architecture - an Introduction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Cambridge University Press, 1994. ili kasnije; </w:t>
            </w:r>
          </w:p>
          <w:p>
            <w:pPr>
              <w:pStyle w:val="Tijelo"/>
              <w:numPr>
                <w:ilvl w:val="0"/>
                <w:numId w:val="2"/>
              </w:numPr>
              <w:bidi w:val="0"/>
              <w:spacing w:before="20" w:after="20"/>
              <w:ind w:right="0"/>
              <w:jc w:val="both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J. Snyder,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Medieval Art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New York, 1989. (str. 5-172); </w:t>
            </w:r>
          </w:p>
          <w:p>
            <w:pPr>
              <w:pStyle w:val="Tijelo"/>
              <w:numPr>
                <w:ilvl w:val="0"/>
                <w:numId w:val="2"/>
              </w:numPr>
              <w:bidi w:val="0"/>
              <w:spacing w:before="20" w:after="20"/>
              <w:ind w:right="0"/>
              <w:jc w:val="both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R. Krautheimer,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Early Christian and Byzantine Architecture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Yale University Press, 1986. ili R. Krauthajmer, S.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ur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Ranohri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anska i vizantijska arhitektura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, Beograd, 2008.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Dodatna literatura 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J. Lowden,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Early Christian and Byzantine art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Phaidon, 2005.;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J. Beckwith,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Early Christian and Byzantine art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Yale University Press, 1993.;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R. Cormack,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Byzantine art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Oxford University Press, 2000.;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D. T. Rice,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Art of the Byzantine era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London, Thames and Hudson, 1994.;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V. Lazarev,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Istorija vizantijskog slikarstva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Beograd, 2004.;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F. Gerke,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Kasna antika i rano hri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šć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anstvo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, Novi Sad 1973.; </w:t>
            </w:r>
          </w:p>
          <w:p>
            <w:pPr>
              <w:pStyle w:val="Tijelo"/>
              <w:numPr>
                <w:ilvl w:val="0"/>
                <w:numId w:val="3"/>
              </w:numPr>
              <w:bidi w:val="0"/>
              <w:spacing w:before="20" w:after="20"/>
              <w:ind w:right="0"/>
              <w:jc w:val="left"/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C. Schug-Wille,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Bizant i njegov svijet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Rijeka, 1970.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Mre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ni izvori 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jc w:val="both"/>
              <w:rPr>
                <w:rFonts w:ascii="Arial Narrow" w:cs="Arial Narrow" w:hAnsi="Arial Narrow" w:eastAsia="Arial Narrow"/>
                <w:sz w:val="18"/>
                <w:szCs w:val="18"/>
              </w:rPr>
            </w:pP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instrText xml:space="preserve"> HYPERLINK "http://constantinople.ehw.gr/forms/fmain.aspx"</w:instrText>
            </w: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rFonts w:ascii="Arial Narrow" w:hAnsi="Arial Narrow"/>
                <w:sz w:val="18"/>
                <w:szCs w:val="18"/>
                <w:rtl w:val="0"/>
                <w:lang w:val="en-US"/>
              </w:rPr>
              <w:t>http://constantinople.ehw.gr/forms/fmain.aspx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fldChar w:fldCharType="end" w:fldLock="0"/>
            </w:r>
          </w:p>
          <w:p>
            <w:pPr>
              <w:pStyle w:val="footnote tex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instrText xml:space="preserve"> HYPERLINK "http://www.thebyzantinelegacy.com"</w:instrText>
            </w:r>
            <w:r>
              <w:rPr>
                <w:rStyle w:val="Hyperlink.1"/>
                <w:rFonts w:ascii="Arial Narrow" w:cs="Arial Narrow" w:hAnsi="Arial Narrow" w:eastAsia="Arial Narrow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rFonts w:ascii="Arial Narrow" w:hAnsi="Arial Narrow"/>
                <w:sz w:val="18"/>
                <w:szCs w:val="18"/>
                <w:rtl w:val="0"/>
                <w:lang w:val="en-US"/>
              </w:rPr>
              <w:t>http://www.thebyzantinelegacy.com</w:t>
            </w:r>
            <w:r>
              <w:rPr>
                <w:rFonts w:ascii="Arial Narrow" w:cs="Arial Narrow" w:hAnsi="Arial Narrow" w:eastAsia="Arial Narrow"/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Provjera ishoda u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(prema uputama AZVO)</w:t>
            </w:r>
          </w:p>
        </w:tc>
        <w:tc>
          <w:tcPr>
            <w:tcW w:type="dxa" w:w="5725"/>
            <w:gridSpan w:val="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Samo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</w:p>
        </w:tc>
        <w:tc>
          <w:tcPr>
            <w:tcW w:type="dxa" w:w="17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191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</w:t>
            </w:r>
          </w:p>
          <w:p>
            <w:pPr>
              <w:pStyle w:val="Tijelo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pismeni ispit</w:t>
            </w:r>
          </w:p>
        </w:tc>
        <w:tc>
          <w:tcPr>
            <w:tcW w:type="dxa" w:w="1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</w:t>
            </w:r>
          </w:p>
          <w:p>
            <w:pPr>
              <w:pStyle w:val="Tijelo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usmeni ispit</w:t>
            </w:r>
          </w:p>
        </w:tc>
        <w:tc>
          <w:tcPr>
            <w:tcW w:type="dxa" w:w="183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pismeni i usmeni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</w:p>
        </w:tc>
        <w:tc>
          <w:tcPr>
            <w:tcW w:type="dxa" w:w="17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prakti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rad i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</w:p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3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samo kolokvij/zada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</w:t>
            </w:r>
          </w:p>
        </w:tc>
        <w:tc>
          <w:tcPr>
            <w:tcW w:type="dxa" w:w="142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</w:pPr>
            <w:r>
              <w:rPr>
                <w:rStyle w:val="Bez"/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kolokvij / zada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 i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</w:p>
        </w:tc>
        <w:tc>
          <w:tcPr>
            <w:tcW w:type="dxa" w:w="109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seminarski</w:t>
            </w:r>
          </w:p>
          <w:p>
            <w:pPr>
              <w:pStyle w:val="Tijelo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rad</w:t>
            </w:r>
          </w:p>
        </w:tc>
        <w:tc>
          <w:tcPr>
            <w:tcW w:type="dxa" w:w="1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spacing w:before="20" w:after="20"/>
              <w:jc w:val="center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/>
                <w:sz w:val="18"/>
                <w:szCs w:val="18"/>
                <w:rtl w:val="0"/>
              </w:rPr>
              <w:t>x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seminarski</w:t>
            </w:r>
          </w:p>
          <w:p>
            <w:pPr>
              <w:pStyle w:val="Tijelo"/>
              <w:widowControl w:val="0"/>
              <w:bidi w:val="0"/>
              <w:spacing w:before="20" w:after="20"/>
              <w:ind w:left="0" w:right="0" w:firstLine="0"/>
              <w:jc w:val="center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rad i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</w:p>
        </w:tc>
        <w:tc>
          <w:tcPr>
            <w:tcW w:type="dxa" w:w="138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prakti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rad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drugi oblici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in formiranja zavr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 ocjene (%)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50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kolokvij, 50%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zavr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 ispit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(kolokvij nije obavezan!)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  <w:rPr>
                <w:rStyle w:val="Bez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Ocjenjivanje </w:t>
            </w:r>
          </w:p>
          <w:p>
            <w:pPr>
              <w:pStyle w:val="Tijelo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b w:val="0"/>
                <w:bCs w:val="0"/>
                <w:sz w:val="18"/>
                <w:szCs w:val="18"/>
                <w:rtl w:val="0"/>
              </w:rPr>
              <w:t>/upisati postotak ili broj bodova za elemente koji se ocjenjuju/</w:t>
            </w:r>
          </w:p>
        </w:tc>
        <w:tc>
          <w:tcPr>
            <w:tcW w:type="dxa" w:w="1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manje od 60%</w:t>
            </w:r>
          </w:p>
        </w:tc>
        <w:tc>
          <w:tcPr>
            <w:tcW w:type="dxa" w:w="6380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 nedovoljan (1)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60-70 %</w:t>
            </w:r>
          </w:p>
        </w:tc>
        <w:tc>
          <w:tcPr>
            <w:tcW w:type="dxa" w:w="6380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 dovoljan (2)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70-80%</w:t>
            </w:r>
          </w:p>
        </w:tc>
        <w:tc>
          <w:tcPr>
            <w:tcW w:type="dxa" w:w="6380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 dobar (3)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80-90%</w:t>
            </w:r>
          </w:p>
        </w:tc>
        <w:tc>
          <w:tcPr>
            <w:tcW w:type="dxa" w:w="6380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 vrlo dobar (4)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218"/>
              </w:tabs>
              <w:suppressAutoHyphens w:val="0"/>
              <w:bidi w:val="0"/>
              <w:spacing w:before="20" w:after="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90% i vi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6380"/>
            <w:gridSpan w:val="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% izvrstan (5)</w:t>
            </w:r>
          </w:p>
        </w:tc>
      </w:tr>
      <w:tr>
        <w:tblPrEx>
          <w:shd w:val="clear" w:color="auto" w:fill="ced7e7"/>
        </w:tblPrEx>
        <w:trPr>
          <w:trHeight w:val="1089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it-IT"/>
              </w:rPr>
              <w:t>in pra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enja kvalitete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jelo"/>
              <w:tabs>
                <w:tab w:val="left" w:pos="1218"/>
              </w:tabs>
              <w:spacing w:before="20" w:after="20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studentska evaluacija nastave na razini Sveu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ili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ta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studentska evaluacija nastave na razini sastavnice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interna evaluacija nastave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☒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tematske sjednice stru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nih vije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 sastavnica o kvaliteti nastave i rezultatima studentske ankete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Bez"/>
                <w:rFonts w:ascii="ＭＳ ゴシック" w:hAnsi="ＭＳ ゴシック" w:hint="default"/>
                <w:sz w:val="18"/>
                <w:szCs w:val="18"/>
                <w:rtl w:val="0"/>
              </w:rPr>
              <w:t>☐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ostalo</w:t>
            </w:r>
          </w:p>
        </w:tc>
      </w:tr>
      <w:tr>
        <w:tblPrEx>
          <w:shd w:val="clear" w:color="auto" w:fill="ced7e7"/>
        </w:tblPrEx>
        <w:trPr>
          <w:trHeight w:val="5022" w:hRule="atLeast"/>
        </w:trPr>
        <w:tc>
          <w:tcPr>
            <w:tcW w:type="dxa" w:w="1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spacing w:before="20" w:after="20"/>
            </w:pP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Napomena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/</w:t>
            </w:r>
            <w:r>
              <w:rPr>
                <w:rStyle w:val="Bez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ru-RU"/>
              </w:rPr>
              <w:t> </w:t>
            </w:r>
            <w:r>
              <w:rPr>
                <w:rStyle w:val="Bez"/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Ostalo</w:t>
            </w:r>
          </w:p>
        </w:tc>
        <w:tc>
          <w:tcPr>
            <w:tcW w:type="dxa" w:w="7427"/>
            <w:gridSpan w:val="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Sukladno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l. 6. </w:t>
            </w:r>
            <w:r>
              <w:rPr>
                <w:rStyle w:val="Bez"/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it-IT"/>
              </w:rPr>
              <w:t>Eti</w:t>
            </w:r>
            <w:r>
              <w:rPr>
                <w:rStyle w:val="Bez"/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i w:val="1"/>
                <w:iCs w:val="1"/>
                <w:sz w:val="18"/>
                <w:szCs w:val="18"/>
                <w:rtl w:val="0"/>
              </w:rPr>
              <w:t>kog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Odbora za etiku u znanosti i visokom obrazovanju,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„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od studenta se 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ekuje da po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teno i eti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no ispunjava svoje obveze, da mu je temeljni cilj akademska izvrsnost, da se pona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 civilizirano, s po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tovanjem i bez predrasuda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“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.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Prema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l. 14. </w:t>
            </w:r>
            <w:r>
              <w:rPr>
                <w:rStyle w:val="Bez"/>
                <w:rFonts w:ascii="Times New Roman" w:hAnsi="Times New Roman"/>
                <w:i w:val="1"/>
                <w:iCs w:val="1"/>
                <w:sz w:val="18"/>
                <w:szCs w:val="18"/>
                <w:rtl w:val="0"/>
                <w:lang w:val="it-IT"/>
              </w:rPr>
              <w:t>Eti</w:t>
            </w:r>
            <w:r>
              <w:rPr>
                <w:rStyle w:val="Bez"/>
                <w:rFonts w:ascii="Times New Roman" w:hAnsi="Times New Roman" w:hint="default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i w:val="1"/>
                <w:iCs w:val="1"/>
                <w:sz w:val="18"/>
                <w:szCs w:val="18"/>
                <w:rtl w:val="0"/>
              </w:rPr>
              <w:t>kog kodeksa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 Sveu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ili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ta u Zadru, od studenata se 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ekuje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„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odgovorno i savjesno ispunjavanje obveza. [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…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] Du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nost je studenata/studentica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uvati ugled i dostojanstvo svih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lanova/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lanica sveu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ili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ne zajednice i Sveu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ili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ta u Zadru u cjelini, promovirati moralne i akademske vrijednosti i na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ela.</w:t>
            </w:r>
            <w:r>
              <w:rPr>
                <w:rStyle w:val="Bez"/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[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…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]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  <w:lang w:val="it-IT"/>
              </w:rPr>
              <w:t>Eti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ki je nedopu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ten svaki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in koji predstavlja povrjedu akademskog po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tenja. To uklju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uje, ali se ne ograni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ava samo na: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- razne oblike prijevare kao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to su uporaba ili posjedovanje knjiga, bilje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aka, podataka, elektroni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kih naprava ili drugih pomagala za vrijeme ispita, osim u slu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ajevima kada je to izrijekom dopu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teno; 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- razne oblike krivotvorenja kao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to su uporaba ili posjedovanje neautorizirana materijala tijekom ispita; la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no predstavljanje i nazo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nost ispitima u ime drugih studenata; la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iranje dokumenata u vezi sa studijima; falsificiranje potpisa i ocjena; krivotvorenje rezultata ispita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“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.</w:t>
            </w: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Svi oblici neeti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nog pona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š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anja rezultirat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 negativnom ocjenom u kolegiju bez mogu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nosti nadoknade ili popravka. U slu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aju te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ž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ih povreda primjenjuje se </w:t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"http://www.unizd.hr/Portals/0/doc/doc_pdf_dokumenti/pravilnici/pravilnik_o_stegovnoj_odgovornosti_studenata_20150917.pdf"</w:instrText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Pravilnik o stegovnoj odgovornosti studenata/studentica Sveu</w:t>
            </w:r>
            <w:r>
              <w:rPr>
                <w:rStyle w:val="Hyperlink.2"/>
                <w:rFonts w:ascii="Times New Roman" w:hAnsi="Times New Roman" w:hint="default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Style w:val="Hyperlink.2"/>
                <w:rFonts w:ascii="Times New Roman" w:hAnsi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ili</w:t>
            </w:r>
            <w:r>
              <w:rPr>
                <w:rStyle w:val="Hyperlink.2"/>
                <w:rFonts w:ascii="Times New Roman" w:hAnsi="Times New Roman" w:hint="default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Style w:val="Hyperlink.2"/>
                <w:rFonts w:ascii="Times New Roman" w:hAnsi="Times New Roman"/>
                <w:i w:val="1"/>
                <w:iCs w:val="1"/>
                <w:outline w:val="0"/>
                <w:color w:val="000000"/>
                <w:sz w:val="18"/>
                <w:szCs w:val="18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ta u Zadru</w: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  <w:fldChar w:fldCharType="end" w:fldLock="0"/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.</w:t>
            </w:r>
          </w:p>
          <w:p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U elektronskoj komunikaciji bit 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ć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 odgovarano samo na poruke koje dolaze s poznatih adresa s imenom i prezimenom, te koje su napisane hrvatskim standardom i primjerenim akademskim stilom.</w:t>
            </w:r>
          </w:p>
          <w:p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Style w:val="Bez"/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Tijelo"/>
              <w:tabs>
                <w:tab w:val="left" w:pos="1218"/>
              </w:tabs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U kolegiju se koristi Merlin, sustav za e-u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enje, pa su studentim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 xml:space="preserve">a 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</w:rPr>
              <w:t>potrebni AAI ra</w:t>
            </w:r>
            <w:r>
              <w:rPr>
                <w:rStyle w:val="Bez"/>
                <w:rFonts w:ascii="Times New Roman" w:hAnsi="Times New Roman" w:hint="default"/>
                <w:sz w:val="18"/>
                <w:szCs w:val="18"/>
                <w:rtl w:val="0"/>
              </w:rPr>
              <w:t>č</w:t>
            </w:r>
            <w:r>
              <w:rPr>
                <w:rStyle w:val="Bez"/>
                <w:rFonts w:ascii="Times New Roman" w:hAnsi="Times New Roman"/>
                <w:sz w:val="18"/>
                <w:szCs w:val="18"/>
                <w:rtl w:val="0"/>
                <w:lang w:val="it-IT"/>
              </w:rPr>
              <w:t>uni.</w:t>
            </w:r>
          </w:p>
        </w:tc>
      </w:tr>
    </w:tbl>
    <w:p>
      <w:pPr>
        <w:pStyle w:val="Tijel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Obrazac 1.3.2. Izvedbeni plan nastave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syllabus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customMarkFollows="1" w:id="1"/>
        <w:t>*</w:t>
      </w:r>
      <w:r>
        <w:rPr>
          <w:rStyle w:val="Bez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 i podnožj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t>*</w:t>
      </w:r>
      <w:r>
        <w:rPr>
          <w:rtl w:val="0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Rije</w:t>
      </w:r>
      <w:r>
        <w:rPr>
          <w:rFonts w:ascii="Times New Roman" w:hAnsi="Times New Roman" w:hint="default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i i pojmovni sklopovi u ovom obrascu koji imaju rodno zna</w:t>
      </w:r>
      <w:r>
        <w:rPr>
          <w:rFonts w:ascii="Times New Roman" w:hAnsi="Times New Roman" w:hint="default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enje odnose se na jednak na</w:t>
      </w:r>
      <w:r>
        <w:rPr>
          <w:rFonts w:ascii="Times New Roman" w:hAnsi="Times New Roman" w:hint="default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č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in na mu</w:t>
      </w:r>
      <w:r>
        <w:rPr>
          <w:rFonts w:ascii="Times New Roman" w:hAnsi="Times New Roman" w:hint="default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 xml:space="preserve">ki i </w:t>
      </w:r>
      <w:r>
        <w:rPr>
          <w:rFonts w:ascii="Times New Roman" w:hAnsi="Times New Roman" w:hint="default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ž</w:t>
      </w:r>
      <w:r>
        <w:rPr>
          <w:rFonts w:ascii="Times New Roman" w:hAnsi="Times New Roman"/>
          <w:i w:val="1"/>
          <w:iCs w:val="1"/>
          <w:outline w:val="0"/>
          <w:color w:val="404040"/>
          <w:sz w:val="18"/>
          <w:szCs w:val="18"/>
          <w:u w:color="404040"/>
          <w:rtl w:val="0"/>
          <w14:textFill>
            <w14:solidFill>
              <w14:srgbClr w14:val="404040"/>
            </w14:solidFill>
          </w14:textFill>
        </w:rPr>
        <w:t>enski rod.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slov 2"/>
      <w:tabs>
        <w:tab w:val="left" w:pos="1418"/>
      </w:tabs>
      <w:spacing w:before="0" w:after="0"/>
      <w:ind w:left="1560" w:firstLine="0"/>
      <w:rPr>
        <w:rFonts w:ascii="Georgia" w:cs="Georgia" w:hAnsi="Georgia" w:eastAsia="Georgia"/>
        <w:b w:val="0"/>
        <w:bCs w:val="0"/>
        <w:sz w:val="22"/>
        <w:szCs w:val="22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ijelo"/>
                          </w:pPr>
                          <w: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5pt;margin-top:14.3pt;width:91.6pt;height:75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ijelo"/>
                    </w:pPr>
                    <w: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Georgia" w:hAnsi="Georgia"/>
        <w:sz w:val="22"/>
        <w:szCs w:val="22"/>
        <w:rtl w:val="0"/>
        <w:lang w:val="de-DE"/>
      </w:rPr>
      <w:t>SVEU</w:t>
    </w:r>
    <w:r>
      <w:rPr>
        <w:rFonts w:ascii="Georgia" w:hAnsi="Georgia" w:hint="default"/>
        <w:sz w:val="22"/>
        <w:szCs w:val="22"/>
        <w:rtl w:val="0"/>
      </w:rPr>
      <w:t>Č</w:t>
    </w:r>
    <w:r>
      <w:rPr>
        <w:rFonts w:ascii="Georgia" w:hAnsi="Georgia"/>
        <w:sz w:val="22"/>
        <w:szCs w:val="22"/>
        <w:rtl w:val="0"/>
        <w:lang w:val="da-DK"/>
      </w:rPr>
      <w:t>ILI</w:t>
    </w:r>
    <w:r>
      <w:rPr>
        <w:rFonts w:ascii="Georgia" w:hAnsi="Georgia" w:hint="default"/>
        <w:sz w:val="22"/>
        <w:szCs w:val="22"/>
        <w:rtl w:val="0"/>
      </w:rPr>
      <w:t>Š</w:t>
    </w:r>
    <w:r>
      <w:rPr>
        <w:rFonts w:ascii="Georgia" w:hAnsi="Georgia"/>
        <w:sz w:val="22"/>
        <w:szCs w:val="22"/>
        <w:rtl w:val="0"/>
      </w:rPr>
      <w:t>TE U ZADRU</w:t>
      <w:tab/>
      <w:tab/>
    </w:r>
  </w:p>
  <w:p>
    <w:pPr>
      <w:pStyle w:val="Naslov 2"/>
      <w:tabs>
        <w:tab w:val="left" w:pos="1418"/>
      </w:tabs>
      <w:spacing w:before="0" w:after="0"/>
      <w:ind w:left="1559" w:firstLine="0"/>
      <w:rPr>
        <w:rFonts w:ascii="Georgia" w:cs="Georgia" w:hAnsi="Georgia" w:eastAsia="Georgia"/>
        <w:b w:val="0"/>
        <w:bCs w:val="0"/>
        <w:sz w:val="22"/>
        <w:szCs w:val="22"/>
      </w:rPr>
    </w:pPr>
    <w:r>
      <w:rPr>
        <w:rFonts w:ascii="Georgia" w:hAnsi="Georgia"/>
        <w:sz w:val="22"/>
        <w:szCs w:val="22"/>
        <w:rtl w:val="0"/>
      </w:rPr>
      <w:t xml:space="preserve">UNIVERSITAS STUDIORUM IADERTINA </w:t>
    </w:r>
  </w:p>
  <w:p>
    <w:pPr>
      <w:pStyle w:val="Tijelo"/>
      <w:pBdr>
        <w:top w:val="nil"/>
        <w:left w:val="nil"/>
        <w:bottom w:val="single" w:color="000000" w:sz="4" w:space="0" w:shadow="0" w:frame="0"/>
        <w:right w:val="nil"/>
      </w:pBdr>
      <w:tabs>
        <w:tab w:val="left" w:pos="1418"/>
      </w:tabs>
      <w:spacing w:before="0" w:after="0"/>
      <w:ind w:left="1560" w:firstLine="0"/>
      <w:rPr>
        <w:rFonts w:ascii="Georgia" w:cs="Georgia" w:hAnsi="Georgia" w:eastAsia="Georgia"/>
        <w:sz w:val="18"/>
        <w:szCs w:val="18"/>
      </w:rPr>
    </w:pPr>
    <w:r>
      <w:rPr>
        <w:rFonts w:ascii="Georgia" w:hAnsi="Georgia"/>
        <w:sz w:val="18"/>
        <w:szCs w:val="18"/>
        <w:rtl w:val="0"/>
      </w:rPr>
      <w:t>Obrazac 1.3.2. Izvedbeni plan nastave (</w:t>
    </w:r>
    <w:r>
      <w:rPr>
        <w:rFonts w:ascii="Georgia" w:hAnsi="Georgia"/>
        <w:i w:val="1"/>
        <w:iCs w:val="1"/>
        <w:sz w:val="18"/>
        <w:szCs w:val="18"/>
        <w:rtl w:val="0"/>
      </w:rPr>
      <w:t>syllabus</w:t>
    </w:r>
    <w:r>
      <w:rPr>
        <w:rFonts w:ascii="Georgia" w:hAnsi="Georgia"/>
        <w:sz w:val="18"/>
        <w:szCs w:val="18"/>
        <w:rtl w:val="0"/>
      </w:rPr>
      <w:t>)</w:t>
    </w:r>
  </w:p>
  <w:p>
    <w:pPr>
      <w:pStyle w:val="header"/>
      <w:tabs>
        <w:tab w:val="right" w:pos="9046"/>
        <w:tab w:val="clear" w:pos="907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21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18"/>
        </w:tabs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18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1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18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18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1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18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18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1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1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1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1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1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1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1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21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21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21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21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1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1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1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slov 2">
    <w:name w:val="Naslov 2"/>
    <w:next w:val="Naslov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Bez">
    <w:name w:val="Bez"/>
  </w:style>
  <w:style w:type="character" w:styleId="Hyperlink.1">
    <w:name w:val="Hyperlink.1"/>
    <w:basedOn w:val="Bez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.0"/>
    <w:next w:val="Hyperlink.2"/>
    <w:rPr>
      <w:rFonts w:ascii="Times New Roman" w:cs="Times New Roman" w:hAnsi="Times New Roman" w:eastAsia="Times New Roman"/>
      <w:i w:val="1"/>
      <w:iCs w:val="1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