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37"/>
        <w:gridCol w:w="480"/>
        <w:gridCol w:w="1148"/>
        <w:gridCol w:w="1143"/>
        <w:gridCol w:w="485"/>
        <w:gridCol w:w="1629"/>
      </w:tblGrid>
      <w:tr w:rsidR="00463BF2" w:rsidRPr="002D266D" w14:paraId="4D7333C9" w14:textId="77777777" w:rsidTr="002D266D">
        <w:trPr>
          <w:trHeight w:val="91"/>
        </w:trPr>
        <w:tc>
          <w:tcPr>
            <w:tcW w:w="2943" w:type="dxa"/>
            <w:shd w:val="clear" w:color="auto" w:fill="FFFFE5"/>
            <w:vAlign w:val="center"/>
          </w:tcPr>
          <w:p w14:paraId="1D931F86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302D1B0B" w14:textId="2E73F1D0" w:rsidR="00463BF2" w:rsidRPr="002D266D" w:rsidRDefault="00463BF2" w:rsidP="0065049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Preddiplomski sveučilišni studij povijesti umjetnosti</w:t>
            </w:r>
          </w:p>
        </w:tc>
      </w:tr>
      <w:tr w:rsidR="00463BF2" w:rsidRPr="002D266D" w14:paraId="3D201134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57968819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44F01E5E" w14:textId="77777777" w:rsidR="00463BF2" w:rsidRPr="00BC142C" w:rsidRDefault="002D266D" w:rsidP="002D266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noProof/>
              </w:rPr>
            </w:pPr>
            <w:r w:rsidRPr="00BC142C">
              <w:rPr>
                <w:rFonts w:ascii="Arial Narrow" w:hAnsi="Arial Narrow" w:cs="Calibri"/>
                <w:b/>
                <w:noProof/>
              </w:rPr>
              <w:t>VJEŽBE INTERPRETACIJE</w:t>
            </w:r>
          </w:p>
          <w:p w14:paraId="4AC9DC95" w14:textId="77777777" w:rsidR="002D266D" w:rsidRPr="002D266D" w:rsidRDefault="002D266D" w:rsidP="002D266D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  <w:r w:rsidRPr="00BC142C">
              <w:rPr>
                <w:rFonts w:ascii="Arial Narrow" w:hAnsi="Arial Narrow" w:cs="Calibri"/>
                <w:b/>
                <w:noProof/>
              </w:rPr>
              <w:t>(PUZ 205)</w:t>
            </w:r>
          </w:p>
        </w:tc>
      </w:tr>
      <w:tr w:rsidR="00463BF2" w:rsidRPr="002D266D" w14:paraId="219ED5B9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1240BFE6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590EA362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Obavezni</w:t>
            </w:r>
          </w:p>
        </w:tc>
      </w:tr>
      <w:tr w:rsidR="00463BF2" w:rsidRPr="002D266D" w14:paraId="61E7530C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6579DBFE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14:paraId="0EF98B8C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1.</w:t>
            </w:r>
          </w:p>
        </w:tc>
        <w:tc>
          <w:tcPr>
            <w:tcW w:w="2291" w:type="dxa"/>
            <w:gridSpan w:val="2"/>
            <w:shd w:val="clear" w:color="auto" w:fill="FFFFE5"/>
            <w:vAlign w:val="center"/>
          </w:tcPr>
          <w:p w14:paraId="166B3F65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2B6BCEC0" w14:textId="77777777" w:rsidR="00463BF2" w:rsidRPr="002D266D" w:rsidRDefault="002D266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463BF2" w:rsidRPr="002D266D">
              <w:rPr>
                <w:rFonts w:ascii="Arial Narrow" w:hAnsi="Arial Narrow" w:cs="Arial"/>
              </w:rPr>
              <w:t>.</w:t>
            </w:r>
          </w:p>
        </w:tc>
      </w:tr>
      <w:tr w:rsidR="00463BF2" w:rsidRPr="002D266D" w14:paraId="22991214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0269CF27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303CABD7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2</w:t>
            </w:r>
          </w:p>
        </w:tc>
      </w:tr>
      <w:tr w:rsidR="00463BF2" w:rsidRPr="002D266D" w14:paraId="507E2938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655751DF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61ECB239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doc. dr. sc. </w:t>
            </w:r>
            <w:r w:rsidR="002314FD">
              <w:rPr>
                <w:rFonts w:ascii="Arial Narrow" w:hAnsi="Arial Narrow" w:cs="Arial"/>
              </w:rPr>
              <w:t>Ivan Josipović</w:t>
            </w:r>
          </w:p>
        </w:tc>
      </w:tr>
      <w:tr w:rsidR="00463BF2" w:rsidRPr="002D266D" w14:paraId="07846C86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1300347F" w14:textId="77777777" w:rsidR="00463BF2" w:rsidRPr="002D266D" w:rsidRDefault="00463BF2" w:rsidP="00531C7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09EA95E0" w14:textId="77777777" w:rsidR="00463BF2" w:rsidRPr="002D266D" w:rsidRDefault="002314F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314FD">
              <w:rPr>
                <w:rFonts w:ascii="Arial Narrow" w:hAnsi="Arial Narrow" w:cs="Arial"/>
              </w:rPr>
              <w:t>ijosipov@unizd.hr</w:t>
            </w:r>
          </w:p>
        </w:tc>
      </w:tr>
      <w:tr w:rsidR="00463BF2" w:rsidRPr="002D266D" w14:paraId="3B8B6B0E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7E44025B" w14:textId="77777777" w:rsidR="00463BF2" w:rsidRPr="002D266D" w:rsidRDefault="00463BF2" w:rsidP="00531C7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121B474F" w14:textId="77777777" w:rsidR="00463BF2" w:rsidRPr="002D266D" w:rsidRDefault="002314F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Dostupno na web stranicama </w:t>
            </w:r>
            <w:r w:rsidR="0065049B">
              <w:rPr>
                <w:rFonts w:ascii="Arial Narrow" w:hAnsi="Arial Narrow" w:cs="Arial"/>
              </w:rPr>
              <w:t>Odjela</w:t>
            </w:r>
          </w:p>
        </w:tc>
      </w:tr>
      <w:tr w:rsidR="00463BF2" w:rsidRPr="002D266D" w14:paraId="6D9388C2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6E96CB41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2A006E48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463BF2" w:rsidRPr="002D266D" w14:paraId="34FB66F2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4FF27B0E" w14:textId="77777777" w:rsidR="00463BF2" w:rsidRPr="002D266D" w:rsidRDefault="00463BF2" w:rsidP="00531C7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2467963D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463BF2" w:rsidRPr="002D266D" w14:paraId="6D329E9F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2BA92204" w14:textId="77777777" w:rsidR="00463BF2" w:rsidRPr="002D266D" w:rsidRDefault="00463BF2" w:rsidP="00531C75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128AAD9A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463BF2" w:rsidRPr="002D266D" w14:paraId="7F60F895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49FC2403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68FE5071" w14:textId="77777777" w:rsidR="00463BF2" w:rsidRPr="002D266D" w:rsidRDefault="002D266D" w:rsidP="002D266D">
            <w:pPr>
              <w:spacing w:after="0" w:line="240" w:lineRule="auto"/>
              <w:rPr>
                <w:rFonts w:ascii="Arial Narrow" w:hAnsi="Arial Narrow" w:cs="Arial"/>
              </w:rPr>
            </w:pPr>
            <w:r w:rsidRPr="007E3A4A">
              <w:rPr>
                <w:rFonts w:ascii="Arial Narrow" w:hAnsi="Arial Narrow"/>
                <w:noProof/>
              </w:rPr>
              <w:t>Dvorana 113 Odjela za povijest umjetnosti</w:t>
            </w:r>
          </w:p>
        </w:tc>
      </w:tr>
      <w:tr w:rsidR="00463BF2" w:rsidRPr="002D266D" w14:paraId="638AFDB1" w14:textId="77777777" w:rsidTr="002D266D">
        <w:trPr>
          <w:trHeight w:val="415"/>
        </w:trPr>
        <w:tc>
          <w:tcPr>
            <w:tcW w:w="2943" w:type="dxa"/>
            <w:shd w:val="clear" w:color="auto" w:fill="FFFFE5"/>
            <w:vAlign w:val="center"/>
          </w:tcPr>
          <w:p w14:paraId="462D5DCC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557423B7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 xml:space="preserve">Seminari, </w:t>
            </w:r>
            <w:r w:rsidRPr="002D266D">
              <w:rPr>
                <w:rFonts w:ascii="Arial Narrow" w:hAnsi="Arial Narrow" w:cs="Calibri"/>
                <w:noProof/>
              </w:rPr>
              <w:t>diskusija sa studentima, analize i interpretacije umjetničkih djela</w:t>
            </w:r>
          </w:p>
        </w:tc>
      </w:tr>
      <w:tr w:rsidR="00463BF2" w:rsidRPr="002D266D" w14:paraId="10DFCF38" w14:textId="77777777" w:rsidTr="002D266D">
        <w:trPr>
          <w:trHeight w:val="265"/>
        </w:trPr>
        <w:tc>
          <w:tcPr>
            <w:tcW w:w="2943" w:type="dxa"/>
            <w:shd w:val="clear" w:color="auto" w:fill="FFFFE5"/>
            <w:vAlign w:val="center"/>
          </w:tcPr>
          <w:p w14:paraId="663363D0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0DB5" w14:textId="77777777" w:rsidR="00463BF2" w:rsidRPr="002D266D" w:rsidRDefault="001F7E7F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 xml:space="preserve"> 30</w:t>
            </w:r>
            <w:r w:rsidR="002D266D">
              <w:rPr>
                <w:rFonts w:ascii="Arial Narrow" w:hAnsi="Arial Narrow" w:cs="Arial"/>
              </w:rPr>
              <w:t xml:space="preserve"> </w:t>
            </w:r>
            <w:r w:rsidR="006A2FA7" w:rsidRPr="002D266D">
              <w:rPr>
                <w:rFonts w:ascii="Arial Narrow" w:hAnsi="Arial Narrow" w:cs="Arial"/>
              </w:rPr>
              <w:t>V</w:t>
            </w:r>
            <w:bookmarkStart w:id="0" w:name="_GoBack"/>
            <w:bookmarkEnd w:id="0"/>
          </w:p>
        </w:tc>
      </w:tr>
      <w:tr w:rsidR="00463BF2" w:rsidRPr="002D266D" w14:paraId="2D3A261A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751D517C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C0075" w14:textId="77777777" w:rsidR="00463BF2" w:rsidRPr="002D266D" w:rsidRDefault="002D266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2D266D" w:rsidRPr="002D266D" w14:paraId="258826E3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2AD4839F" w14:textId="77777777" w:rsidR="002D266D" w:rsidRPr="002D266D" w:rsidRDefault="002D266D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A3760" w14:textId="77777777" w:rsidR="002D266D" w:rsidRPr="002314FD" w:rsidRDefault="002D266D" w:rsidP="00452D15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29BB4072" w14:textId="77777777" w:rsidR="002D266D" w:rsidRPr="00AC0945" w:rsidRDefault="002D266D" w:rsidP="00452D1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41A0D" w14:textId="77777777" w:rsidR="002D266D" w:rsidRPr="002314FD" w:rsidRDefault="002D266D" w:rsidP="00452D15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tr w:rsidR="00463BF2" w:rsidRPr="002D266D" w14:paraId="5F7543B4" w14:textId="77777777" w:rsidTr="002D266D">
        <w:trPr>
          <w:trHeight w:val="145"/>
        </w:trPr>
        <w:tc>
          <w:tcPr>
            <w:tcW w:w="2943" w:type="dxa"/>
            <w:vMerge w:val="restart"/>
            <w:shd w:val="clear" w:color="auto" w:fill="FFFFE5"/>
            <w:vAlign w:val="center"/>
          </w:tcPr>
          <w:p w14:paraId="734894D9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637" w:type="dxa"/>
            <w:shd w:val="clear" w:color="auto" w:fill="FFFFE5"/>
            <w:vAlign w:val="center"/>
          </w:tcPr>
          <w:p w14:paraId="4283467D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14:paraId="4133F46A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14:paraId="01345988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9" w:type="dxa"/>
            <w:shd w:val="clear" w:color="auto" w:fill="FFFFE5"/>
            <w:vAlign w:val="center"/>
          </w:tcPr>
          <w:p w14:paraId="505B73C6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463BF2" w:rsidRPr="002D266D" w14:paraId="434FC17B" w14:textId="77777777" w:rsidTr="002D266D">
        <w:trPr>
          <w:trHeight w:val="383"/>
        </w:trPr>
        <w:tc>
          <w:tcPr>
            <w:tcW w:w="2943" w:type="dxa"/>
            <w:vMerge/>
            <w:shd w:val="clear" w:color="auto" w:fill="FFFFE5"/>
            <w:vAlign w:val="center"/>
          </w:tcPr>
          <w:p w14:paraId="30B32E5A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50603FE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2D40430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AB161E9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205CB29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</w:tr>
      <w:tr w:rsidR="00463BF2" w:rsidRPr="002D266D" w14:paraId="757ED753" w14:textId="77777777" w:rsidTr="002D266D">
        <w:trPr>
          <w:trHeight w:val="145"/>
        </w:trPr>
        <w:tc>
          <w:tcPr>
            <w:tcW w:w="2943" w:type="dxa"/>
            <w:vMerge w:val="restart"/>
            <w:shd w:val="clear" w:color="auto" w:fill="FFFFE5"/>
            <w:vAlign w:val="center"/>
          </w:tcPr>
          <w:p w14:paraId="65BE6080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637" w:type="dxa"/>
            <w:shd w:val="clear" w:color="auto" w:fill="FFFFE5"/>
            <w:vAlign w:val="center"/>
          </w:tcPr>
          <w:p w14:paraId="53890004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14:paraId="49D27A69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8" w:type="dxa"/>
            <w:gridSpan w:val="2"/>
            <w:shd w:val="clear" w:color="auto" w:fill="FFFFE5"/>
            <w:vAlign w:val="center"/>
          </w:tcPr>
          <w:p w14:paraId="2AAEE9A2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29" w:type="dxa"/>
            <w:shd w:val="clear" w:color="auto" w:fill="FFFFE5"/>
            <w:vAlign w:val="center"/>
          </w:tcPr>
          <w:p w14:paraId="1345BD60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463BF2" w:rsidRPr="002D266D" w14:paraId="29A0B833" w14:textId="77777777" w:rsidTr="002D266D">
        <w:trPr>
          <w:trHeight w:val="411"/>
        </w:trPr>
        <w:tc>
          <w:tcPr>
            <w:tcW w:w="2943" w:type="dxa"/>
            <w:vMerge/>
            <w:shd w:val="clear" w:color="auto" w:fill="FFFFE5"/>
            <w:vAlign w:val="center"/>
          </w:tcPr>
          <w:p w14:paraId="1E1787FC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7C899B4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5BD48FC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9A5C709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7D175CB" w14:textId="77777777" w:rsidR="00463BF2" w:rsidRPr="002D266D" w:rsidRDefault="0076063D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-</w:t>
            </w:r>
          </w:p>
        </w:tc>
      </w:tr>
      <w:tr w:rsidR="00463BF2" w:rsidRPr="002D266D" w14:paraId="54ED85D4" w14:textId="77777777" w:rsidTr="002D266D">
        <w:trPr>
          <w:trHeight w:val="2269"/>
        </w:trPr>
        <w:tc>
          <w:tcPr>
            <w:tcW w:w="2943" w:type="dxa"/>
            <w:shd w:val="clear" w:color="auto" w:fill="FFFFE5"/>
            <w:vAlign w:val="center"/>
          </w:tcPr>
          <w:p w14:paraId="15C752FF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1AC7CBA4" w14:textId="77777777" w:rsidR="00C640A9" w:rsidRPr="002D266D" w:rsidRDefault="00C640A9" w:rsidP="00C640A9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Stjecanje temeljnih vještina opisa, analize i interpretacije umjetničkog djela. Na osnovu odabranih i obrađenih primjera stječu se osnovna znanja i kompetencije pristupa umjetničkom djelu općenito čime se stvara podloga za usvajanje i razumijevanje ostalih sadržaja tijekom studija te lakše apsolviranje kolegija posvećenih povijesnim razdobljima.</w:t>
            </w:r>
          </w:p>
          <w:p w14:paraId="7DDC2598" w14:textId="77777777" w:rsidR="00C640A9" w:rsidRPr="002D266D" w:rsidRDefault="002D266D" w:rsidP="002D266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 </w:t>
            </w:r>
            <w:r w:rsidR="00C640A9" w:rsidRPr="002D266D">
              <w:rPr>
                <w:rFonts w:ascii="Arial Narrow" w:hAnsi="Arial Narrow" w:cs="Arial"/>
              </w:rPr>
              <w:t>stjecanje znanja o osnovnim etapama u pristupu umjetničkom djelu</w:t>
            </w:r>
          </w:p>
          <w:p w14:paraId="019B4251" w14:textId="77777777" w:rsidR="00C640A9" w:rsidRPr="002D266D" w:rsidRDefault="002D266D" w:rsidP="002D266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C640A9" w:rsidRPr="002D266D">
              <w:rPr>
                <w:rFonts w:ascii="Arial Narrow" w:hAnsi="Arial Narrow" w:cs="Arial"/>
              </w:rPr>
              <w:t>samostalno opisivanje, analiziranje i interpretacija umjetničkog djela kao i razumijevanje te povezivanje navedenoga u cjelinu s obzirom na kontekst</w:t>
            </w:r>
          </w:p>
          <w:p w14:paraId="3C4BC7E9" w14:textId="77777777" w:rsidR="00C640A9" w:rsidRPr="002D266D" w:rsidRDefault="002D266D" w:rsidP="002D266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C640A9" w:rsidRPr="002D266D">
              <w:rPr>
                <w:rFonts w:ascii="Arial Narrow" w:hAnsi="Arial Narrow" w:cs="Arial"/>
              </w:rPr>
              <w:t>stjecanje osnovnih vještina promatranja umjetničkog djela iz više točki gledišta</w:t>
            </w:r>
          </w:p>
          <w:p w14:paraId="42410F1C" w14:textId="77777777" w:rsidR="00463BF2" w:rsidRPr="002D266D" w:rsidRDefault="002D266D" w:rsidP="005E5B8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C640A9" w:rsidRPr="002D266D">
              <w:rPr>
                <w:rFonts w:ascii="Arial Narrow" w:hAnsi="Arial Narrow" w:cs="Arial"/>
              </w:rPr>
              <w:t>savladavanje umijeća diskusije o djelu te kvalitetne i precizne strukovne pismene i usmene verbalizacije</w:t>
            </w:r>
          </w:p>
        </w:tc>
      </w:tr>
      <w:tr w:rsidR="00463BF2" w:rsidRPr="002D266D" w14:paraId="09A4911D" w14:textId="77777777" w:rsidTr="002D266D">
        <w:trPr>
          <w:trHeight w:val="145"/>
        </w:trPr>
        <w:tc>
          <w:tcPr>
            <w:tcW w:w="2943" w:type="dxa"/>
            <w:shd w:val="clear" w:color="auto" w:fill="FFFFE5"/>
            <w:vAlign w:val="center"/>
          </w:tcPr>
          <w:p w14:paraId="3733FBFE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60572147" w14:textId="77777777" w:rsidR="00463BF2" w:rsidRPr="002D266D" w:rsidRDefault="0065049B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studij povijesti umjetnosti</w:t>
            </w:r>
          </w:p>
        </w:tc>
      </w:tr>
      <w:tr w:rsidR="00463BF2" w:rsidRPr="002D266D" w14:paraId="1323DFA9" w14:textId="77777777" w:rsidTr="002D266D">
        <w:trPr>
          <w:trHeight w:val="1729"/>
        </w:trPr>
        <w:tc>
          <w:tcPr>
            <w:tcW w:w="2943" w:type="dxa"/>
            <w:shd w:val="clear" w:color="auto" w:fill="FFFFE5"/>
            <w:vAlign w:val="center"/>
          </w:tcPr>
          <w:p w14:paraId="095FC3BB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39E48745" w14:textId="77777777" w:rsidR="00C640A9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U</w:t>
            </w:r>
            <w:r w:rsidR="00CE0F38" w:rsidRPr="002D266D">
              <w:rPr>
                <w:rFonts w:ascii="Arial Narrow" w:hAnsi="Arial Narrow" w:cs="Calibri"/>
                <w:noProof/>
                <w:color w:val="000000"/>
              </w:rPr>
              <w:t>vod u analizu umjetničkog djela, terminologija</w:t>
            </w:r>
          </w:p>
          <w:p w14:paraId="0F262D99" w14:textId="77777777" w:rsidR="00C640A9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Etape pristupa umjetničkom djelu</w:t>
            </w:r>
          </w:p>
          <w:p w14:paraId="46AFFDA7" w14:textId="77777777" w:rsidR="00C640A9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Kratki pregled različitih pristupa umjetničkom djelu</w:t>
            </w:r>
          </w:p>
          <w:p w14:paraId="68A2DCE9" w14:textId="77777777" w:rsidR="00C640A9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Forma, struktura, stil: povijest i metode formalne analize</w:t>
            </w:r>
          </w:p>
          <w:p w14:paraId="4B01D067" w14:textId="77777777" w:rsidR="0009742C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Tumačenje djela - sadržaj i smisao: ikonografsko – ikonološka obrada djela</w:t>
            </w:r>
          </w:p>
          <w:p w14:paraId="1FA4DFA1" w14:textId="77777777" w:rsidR="00463BF2" w:rsidRPr="002D266D" w:rsidRDefault="00C640A9" w:rsidP="002D266D">
            <w:pPr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 w:cs="Calibri"/>
                <w:noProof/>
                <w:color w:val="000000"/>
              </w:rPr>
              <w:t>Vježbe interpretacije umjetničkih djela u praksi na odabranim primj</w:t>
            </w:r>
            <w:r w:rsidR="00CE0F38" w:rsidRPr="002D266D">
              <w:rPr>
                <w:rFonts w:ascii="Arial Narrow" w:hAnsi="Arial Narrow" w:cs="Calibri"/>
                <w:noProof/>
                <w:color w:val="000000"/>
              </w:rPr>
              <w:t>erima kroz povijesna razdoblja</w:t>
            </w:r>
          </w:p>
        </w:tc>
      </w:tr>
      <w:tr w:rsidR="00463BF2" w:rsidRPr="002D266D" w14:paraId="75FABDF1" w14:textId="77777777" w:rsidTr="002D266D">
        <w:trPr>
          <w:trHeight w:val="371"/>
        </w:trPr>
        <w:tc>
          <w:tcPr>
            <w:tcW w:w="2943" w:type="dxa"/>
            <w:shd w:val="clear" w:color="auto" w:fill="FFFFE5"/>
            <w:vAlign w:val="center"/>
          </w:tcPr>
          <w:p w14:paraId="62480466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7FDDAB1F" w14:textId="77777777" w:rsidR="00463BF2" w:rsidRPr="002D266D" w:rsidRDefault="00463BF2" w:rsidP="00CC7159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  <w:color w:val="000000"/>
              </w:rPr>
            </w:pPr>
            <w:r w:rsidRPr="002D266D">
              <w:rPr>
                <w:rFonts w:ascii="Arial Narrow" w:hAnsi="Arial Narrow"/>
                <w:noProof/>
              </w:rPr>
              <w:t xml:space="preserve">V. Horvat Pintarić, </w:t>
            </w:r>
            <w:r w:rsidRPr="002D266D">
              <w:rPr>
                <w:rFonts w:ascii="Arial Narrow" w:hAnsi="Arial Narrow"/>
                <w:b/>
                <w:i/>
                <w:noProof/>
              </w:rPr>
              <w:t>Umijeće opisivanja</w:t>
            </w:r>
            <w:r w:rsidR="0009742C" w:rsidRPr="002D266D">
              <w:rPr>
                <w:rFonts w:ascii="Arial Narrow" w:hAnsi="Arial Narrow"/>
                <w:noProof/>
              </w:rPr>
              <w:t>, Zagreb, 2015.</w:t>
            </w:r>
            <w:r w:rsidRPr="002D266D">
              <w:rPr>
                <w:rFonts w:ascii="Arial Narrow" w:hAnsi="Arial Narrow"/>
                <w:noProof/>
              </w:rPr>
              <w:t xml:space="preserve"> </w:t>
            </w:r>
          </w:p>
        </w:tc>
      </w:tr>
      <w:tr w:rsidR="00463BF2" w:rsidRPr="002D266D" w14:paraId="70B8A827" w14:textId="77777777" w:rsidTr="002D266D">
        <w:trPr>
          <w:trHeight w:val="695"/>
        </w:trPr>
        <w:tc>
          <w:tcPr>
            <w:tcW w:w="2943" w:type="dxa"/>
            <w:shd w:val="clear" w:color="auto" w:fill="FFFFE5"/>
            <w:vAlign w:val="center"/>
          </w:tcPr>
          <w:p w14:paraId="2F55C628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089FACE6" w14:textId="77777777" w:rsidR="00463BF2" w:rsidRPr="002D266D" w:rsidRDefault="00CE0F38" w:rsidP="009C7389">
            <w:pPr>
              <w:pStyle w:val="NormalWeb"/>
              <w:spacing w:before="0" w:beforeAutospacing="0" w:after="0" w:afterAutospacing="0"/>
              <w:ind w:left="28"/>
              <w:rPr>
                <w:rFonts w:ascii="Arial Narrow" w:hAnsi="Arial Narrow" w:cs="Calibri"/>
                <w:noProof/>
                <w:sz w:val="22"/>
                <w:szCs w:val="22"/>
              </w:rPr>
            </w:pPr>
            <w:r w:rsidRPr="009C7389">
              <w:rPr>
                <w:rFonts w:ascii="Arial Narrow" w:hAnsi="Arial Narrow"/>
                <w:noProof/>
                <w:sz w:val="22"/>
                <w:szCs w:val="22"/>
              </w:rPr>
              <w:t>O.</w:t>
            </w:r>
            <w:r w:rsidR="00F75FCD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 Bä</w:t>
            </w:r>
            <w:r w:rsidR="00DE063A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tschmann, </w:t>
            </w:r>
            <w:r w:rsidR="00DE063A" w:rsidRPr="009C7389"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t>Uvod u povijesnoumjetničku hermeneutiku: interpretacija slika</w:t>
            </w:r>
            <w:r w:rsidR="00DE063A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, Zagreb, 2004.; </w:t>
            </w:r>
            <w:r w:rsidR="00CC7159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L. Schneider Adams, </w:t>
            </w:r>
            <w:r w:rsidR="00CC7159" w:rsidRPr="009C7389"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t>The Metodologies of Art. An Introduction</w:t>
            </w:r>
            <w:r w:rsidR="00CC7159" w:rsidRPr="009C7389">
              <w:rPr>
                <w:rFonts w:ascii="Arial Narrow" w:hAnsi="Arial Narrow"/>
                <w:noProof/>
                <w:sz w:val="22"/>
                <w:szCs w:val="22"/>
              </w:rPr>
              <w:t>, Boulder, 2011.;</w:t>
            </w:r>
            <w:r w:rsidR="00436E17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 xml:space="preserve"> </w:t>
            </w:r>
            <w:r w:rsidR="009C7389" w:rsidRPr="009C7389"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t>Uvod u povijest umjetnosti</w:t>
            </w:r>
            <w:r w:rsidR="0032786A">
              <w:rPr>
                <w:rFonts w:ascii="Arial Narrow" w:hAnsi="Arial Narrow"/>
                <w:noProof/>
                <w:sz w:val="22"/>
                <w:szCs w:val="22"/>
              </w:rPr>
              <w:t>, (ur.) H.</w:t>
            </w:r>
            <w:r w:rsidR="009C7389">
              <w:rPr>
                <w:rFonts w:ascii="Arial Narrow" w:hAnsi="Arial Narrow"/>
                <w:noProof/>
                <w:sz w:val="22"/>
                <w:szCs w:val="22"/>
              </w:rPr>
              <w:t xml:space="preserve"> Belting et alli</w:t>
            </w:r>
            <w:r w:rsidR="009C7389" w:rsidRPr="009C7389">
              <w:rPr>
                <w:rFonts w:ascii="Arial Narrow" w:hAnsi="Arial Narrow"/>
                <w:noProof/>
                <w:sz w:val="22"/>
                <w:szCs w:val="22"/>
              </w:rPr>
              <w:t>, Zaprešić, 2007.</w:t>
            </w:r>
            <w:r w:rsid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; </w:t>
            </w:r>
            <w:r w:rsidR="00436E17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H. Wölfflin, </w:t>
            </w:r>
            <w:r w:rsidR="00436E17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>Temeljni pojmovi povijesti umjetnosti</w:t>
            </w:r>
            <w:r w:rsidR="009C7389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, Zagreb, </w:t>
            </w:r>
            <w:r w:rsidR="00436E17" w:rsidRPr="009C7389">
              <w:rPr>
                <w:rFonts w:ascii="Arial Narrow" w:hAnsi="Arial Narrow" w:cs="Calibri"/>
                <w:noProof/>
                <w:sz w:val="22"/>
                <w:szCs w:val="22"/>
              </w:rPr>
              <w:t>1998.;</w:t>
            </w:r>
            <w:r w:rsidR="009C7389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 </w:t>
            </w:r>
            <w:r w:rsidR="00436E17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>Slika i riječ</w:t>
            </w:r>
            <w:r w:rsidR="009C7389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 xml:space="preserve"> – u</w:t>
            </w:r>
            <w:r w:rsidR="00436E17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>vod u povijesnoumjetničku hermeneutiku</w:t>
            </w:r>
            <w:r w:rsidR="00436E17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, </w:t>
            </w:r>
            <w:r w:rsidR="009C7389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(ur.) S. Briski Uzelac, </w:t>
            </w:r>
            <w:r w:rsidR="00436E17" w:rsidRPr="009C7389">
              <w:rPr>
                <w:rFonts w:ascii="Arial Narrow" w:hAnsi="Arial Narrow" w:cs="Calibri"/>
                <w:noProof/>
                <w:sz w:val="22"/>
                <w:szCs w:val="22"/>
              </w:rPr>
              <w:t>Zagreb, 1997.</w:t>
            </w:r>
            <w:r w:rsidR="0076063D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; </w:t>
            </w:r>
            <w:r w:rsidR="00531C75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M. Peić, </w:t>
            </w:r>
            <w:r w:rsidR="00531C75" w:rsidRPr="009C7389"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t>Pristup likovnom djelu</w:t>
            </w:r>
            <w:r w:rsidR="00531C75" w:rsidRPr="009C7389">
              <w:rPr>
                <w:rFonts w:ascii="Arial Narrow" w:hAnsi="Arial Narrow"/>
                <w:noProof/>
                <w:sz w:val="22"/>
                <w:szCs w:val="22"/>
              </w:rPr>
              <w:t xml:space="preserve">, Zagreb, 1968.; </w:t>
            </w:r>
            <w:r w:rsidR="00463BF2" w:rsidRP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J. Damjanov, </w:t>
            </w:r>
            <w:r w:rsidR="00463BF2" w:rsidRPr="009C7389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>Vizualni jezik i likovna</w:t>
            </w:r>
            <w:r w:rsidR="00463BF2" w:rsidRPr="002D266D">
              <w:rPr>
                <w:rFonts w:ascii="Arial Narrow" w:hAnsi="Arial Narrow" w:cs="Calibri"/>
                <w:b/>
                <w:i/>
                <w:noProof/>
                <w:sz w:val="22"/>
                <w:szCs w:val="22"/>
              </w:rPr>
              <w:t xml:space="preserve"> umjetnost</w:t>
            </w:r>
            <w:r w:rsidR="009C7389">
              <w:rPr>
                <w:rFonts w:ascii="Arial Narrow" w:hAnsi="Arial Narrow" w:cs="Calibri"/>
                <w:noProof/>
                <w:sz w:val="22"/>
                <w:szCs w:val="22"/>
              </w:rPr>
              <w:t xml:space="preserve">, Zagreb, </w:t>
            </w:r>
            <w:r w:rsidR="00463BF2" w:rsidRPr="002D266D">
              <w:rPr>
                <w:rFonts w:ascii="Arial Narrow" w:hAnsi="Arial Narrow" w:cs="Calibri"/>
                <w:noProof/>
                <w:sz w:val="22"/>
                <w:szCs w:val="22"/>
              </w:rPr>
              <w:t>1991</w:t>
            </w:r>
            <w:r w:rsidR="00CC7159" w:rsidRPr="002D266D">
              <w:rPr>
                <w:rFonts w:ascii="Arial Narrow" w:hAnsi="Arial Narrow" w:cs="Calibri"/>
                <w:noProof/>
                <w:sz w:val="22"/>
                <w:szCs w:val="22"/>
              </w:rPr>
              <w:t xml:space="preserve">.; R. Ivančević, </w:t>
            </w:r>
            <w:r w:rsidR="00CC7159" w:rsidRPr="002D266D">
              <w:rPr>
                <w:rFonts w:ascii="Arial Narrow" w:hAnsi="Arial Narrow" w:cs="Calibri"/>
                <w:b/>
                <w:noProof/>
                <w:sz w:val="22"/>
                <w:szCs w:val="22"/>
              </w:rPr>
              <w:t>Perspektive</w:t>
            </w:r>
            <w:r w:rsidR="00CC7159" w:rsidRPr="002D266D">
              <w:rPr>
                <w:rFonts w:ascii="Arial Narrow" w:hAnsi="Arial Narrow" w:cs="Calibri"/>
                <w:noProof/>
                <w:sz w:val="22"/>
                <w:szCs w:val="22"/>
              </w:rPr>
              <w:t>, Zagreb, 1996.</w:t>
            </w:r>
            <w:r w:rsidR="00463BF2" w:rsidRPr="002D266D">
              <w:rPr>
                <w:rFonts w:ascii="Arial Narrow" w:hAnsi="Arial Narrow" w:cs="Calibri"/>
                <w:noProof/>
                <w:sz w:val="22"/>
                <w:szCs w:val="22"/>
              </w:rPr>
              <w:t xml:space="preserve"> </w:t>
            </w:r>
          </w:p>
        </w:tc>
      </w:tr>
      <w:tr w:rsidR="00463BF2" w:rsidRPr="002D266D" w14:paraId="095A51BF" w14:textId="77777777" w:rsidTr="002D266D">
        <w:trPr>
          <w:trHeight w:val="242"/>
        </w:trPr>
        <w:tc>
          <w:tcPr>
            <w:tcW w:w="2943" w:type="dxa"/>
            <w:shd w:val="clear" w:color="auto" w:fill="FFFFE5"/>
            <w:vAlign w:val="center"/>
          </w:tcPr>
          <w:p w14:paraId="7717CDA3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6738CE97" w14:textId="77777777" w:rsidR="00463BF2" w:rsidRPr="002D266D" w:rsidRDefault="00CE0F38" w:rsidP="00531C75">
            <w:pPr>
              <w:spacing w:after="0" w:line="240" w:lineRule="auto"/>
              <w:rPr>
                <w:rFonts w:ascii="Arial Narrow" w:hAnsi="Arial Narrow" w:cs="Arial"/>
              </w:rPr>
            </w:pPr>
            <w:r w:rsidRPr="002D266D">
              <w:rPr>
                <w:rFonts w:ascii="Arial Narrow" w:hAnsi="Arial Narrow" w:cs="Arial"/>
              </w:rPr>
              <w:t>www.jstor.org</w:t>
            </w:r>
          </w:p>
        </w:tc>
      </w:tr>
      <w:tr w:rsidR="00463BF2" w:rsidRPr="002D266D" w14:paraId="1CDE41EB" w14:textId="77777777" w:rsidTr="002D266D">
        <w:trPr>
          <w:trHeight w:val="257"/>
        </w:trPr>
        <w:tc>
          <w:tcPr>
            <w:tcW w:w="2943" w:type="dxa"/>
            <w:shd w:val="clear" w:color="auto" w:fill="FFFFE5"/>
            <w:vAlign w:val="center"/>
          </w:tcPr>
          <w:p w14:paraId="68FECC86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11F91D1B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Studentska anketa, samoanaliza</w:t>
            </w:r>
          </w:p>
        </w:tc>
      </w:tr>
      <w:tr w:rsidR="00463BF2" w:rsidRPr="002D266D" w14:paraId="76D20BCA" w14:textId="77777777" w:rsidTr="002D266D">
        <w:trPr>
          <w:trHeight w:val="1097"/>
        </w:trPr>
        <w:tc>
          <w:tcPr>
            <w:tcW w:w="2943" w:type="dxa"/>
            <w:shd w:val="clear" w:color="auto" w:fill="FFFFE5"/>
            <w:vAlign w:val="center"/>
          </w:tcPr>
          <w:p w14:paraId="15939530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59CF0A7C" w14:textId="77777777" w:rsidR="00463BF2" w:rsidRPr="002D266D" w:rsidRDefault="00463BF2" w:rsidP="005E5B8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2D266D">
              <w:rPr>
                <w:rFonts w:ascii="Arial Narrow" w:hAnsi="Arial Narrow"/>
                <w:noProof/>
              </w:rPr>
              <w:t>Studenti su dužni sudjelovati u radu i diskusiji na najmanje 70% s</w:t>
            </w:r>
            <w:r w:rsidR="00CE0F38" w:rsidRPr="002D266D">
              <w:rPr>
                <w:rFonts w:ascii="Arial Narrow" w:hAnsi="Arial Narrow"/>
                <w:noProof/>
              </w:rPr>
              <w:t>eminara (u slučaju kolizije 40%</w:t>
            </w:r>
            <w:r w:rsidRPr="002D266D">
              <w:rPr>
                <w:rFonts w:ascii="Arial Narrow" w:hAnsi="Arial Narrow"/>
                <w:noProof/>
              </w:rPr>
              <w:t xml:space="preserve"> seminara).</w:t>
            </w:r>
          </w:p>
        </w:tc>
      </w:tr>
      <w:tr w:rsidR="00463BF2" w:rsidRPr="002D266D" w14:paraId="74525A0F" w14:textId="77777777" w:rsidTr="002D266D">
        <w:trPr>
          <w:trHeight w:val="1030"/>
        </w:trPr>
        <w:tc>
          <w:tcPr>
            <w:tcW w:w="2943" w:type="dxa"/>
            <w:shd w:val="clear" w:color="auto" w:fill="FFFFE5"/>
            <w:vAlign w:val="center"/>
          </w:tcPr>
          <w:p w14:paraId="731B2EEE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74E445B0" w14:textId="77777777" w:rsidR="00463BF2" w:rsidRPr="002D266D" w:rsidRDefault="00463BF2" w:rsidP="005E5B8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2D266D">
              <w:rPr>
                <w:rFonts w:ascii="Arial Narrow" w:hAnsi="Arial Narrow" w:cs="Arial"/>
                <w:noProof/>
              </w:rPr>
              <w:t>Raspodjela ECTS bodova prema studijskim obavezama: pohađanje semin</w:t>
            </w:r>
            <w:r w:rsidR="002D266D">
              <w:rPr>
                <w:rFonts w:ascii="Arial Narrow" w:hAnsi="Arial Narrow" w:cs="Arial"/>
                <w:noProof/>
              </w:rPr>
              <w:t>ara 0,5 ; rad na literaturi: 0,</w:t>
            </w:r>
            <w:r w:rsidRPr="002D266D">
              <w:rPr>
                <w:rFonts w:ascii="Arial Narrow" w:hAnsi="Arial Narrow" w:cs="Arial"/>
                <w:noProof/>
              </w:rPr>
              <w:t xml:space="preserve">5; seminarski rad/esej </w:t>
            </w:r>
            <w:r w:rsidR="005E5B85">
              <w:rPr>
                <w:rFonts w:ascii="Arial Narrow" w:hAnsi="Arial Narrow" w:cs="Arial"/>
                <w:noProof/>
              </w:rPr>
              <w:t>-</w:t>
            </w:r>
            <w:r w:rsidR="002D266D">
              <w:rPr>
                <w:rFonts w:ascii="Arial Narrow" w:hAnsi="Arial Narrow" w:cs="Arial"/>
                <w:noProof/>
              </w:rPr>
              <w:t xml:space="preserve">; diskusija na satu </w:t>
            </w:r>
            <w:r w:rsidR="005E5B85">
              <w:rPr>
                <w:rFonts w:ascii="Arial Narrow" w:hAnsi="Arial Narrow" w:cs="Arial"/>
                <w:noProof/>
              </w:rPr>
              <w:t>1</w:t>
            </w:r>
            <w:r w:rsidRPr="002D266D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463BF2" w:rsidRPr="002D266D" w14:paraId="6B525C9C" w14:textId="77777777" w:rsidTr="002D266D">
        <w:trPr>
          <w:trHeight w:val="499"/>
        </w:trPr>
        <w:tc>
          <w:tcPr>
            <w:tcW w:w="2943" w:type="dxa"/>
            <w:shd w:val="clear" w:color="auto" w:fill="FFFFE5"/>
            <w:vAlign w:val="center"/>
          </w:tcPr>
          <w:p w14:paraId="1655EBA9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793E6FC2" w14:textId="77777777" w:rsidR="00463BF2" w:rsidRPr="002D266D" w:rsidRDefault="00CE0F38" w:rsidP="00CE0F38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2D266D">
              <w:rPr>
                <w:rFonts w:ascii="Arial Narrow" w:hAnsi="Arial Narrow" w:cs="Arial"/>
                <w:noProof/>
              </w:rPr>
              <w:t>Prema odluci Stručnoga vijeća Odjela za povijest umjetnosti</w:t>
            </w:r>
          </w:p>
        </w:tc>
      </w:tr>
      <w:tr w:rsidR="00463BF2" w:rsidRPr="002D266D" w14:paraId="1220F31E" w14:textId="77777777" w:rsidTr="002D266D">
        <w:trPr>
          <w:trHeight w:val="943"/>
        </w:trPr>
        <w:tc>
          <w:tcPr>
            <w:tcW w:w="2943" w:type="dxa"/>
            <w:shd w:val="clear" w:color="auto" w:fill="FFFFE5"/>
            <w:vAlign w:val="center"/>
          </w:tcPr>
          <w:p w14:paraId="51B7C5AE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D266D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22" w:type="dxa"/>
            <w:gridSpan w:val="6"/>
            <w:shd w:val="clear" w:color="auto" w:fill="auto"/>
            <w:vAlign w:val="center"/>
          </w:tcPr>
          <w:p w14:paraId="12278B8A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2D266D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predstavljaju diskusije na satu te seminarski rad koji se izvodi u usmenom obliku. </w:t>
            </w:r>
          </w:p>
        </w:tc>
      </w:tr>
    </w:tbl>
    <w:p w14:paraId="151B9267" w14:textId="77777777" w:rsidR="00463BF2" w:rsidRPr="002D266D" w:rsidRDefault="00463BF2" w:rsidP="00463BF2">
      <w:pPr>
        <w:spacing w:after="0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379"/>
        <w:gridCol w:w="1137"/>
      </w:tblGrid>
      <w:tr w:rsidR="00463BF2" w:rsidRPr="002D266D" w14:paraId="7F80E0BA" w14:textId="77777777" w:rsidTr="00531C7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5DCC3E5A" w14:textId="77777777" w:rsidR="00463BF2" w:rsidRPr="002D266D" w:rsidRDefault="00463BF2" w:rsidP="00531C75">
            <w:pPr>
              <w:spacing w:after="0" w:line="240" w:lineRule="auto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463BF2" w:rsidRPr="002D266D" w14:paraId="14B7BEBF" w14:textId="77777777" w:rsidTr="00531C7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0E3A3E34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D266D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6B710377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D266D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379" w:type="dxa"/>
            <w:shd w:val="clear" w:color="auto" w:fill="FFFFE5"/>
            <w:vAlign w:val="center"/>
          </w:tcPr>
          <w:p w14:paraId="699EDD5F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D266D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137" w:type="dxa"/>
            <w:shd w:val="clear" w:color="auto" w:fill="FFFFE5"/>
            <w:vAlign w:val="center"/>
          </w:tcPr>
          <w:p w14:paraId="0E9F6A25" w14:textId="77777777" w:rsidR="00463BF2" w:rsidRPr="002D266D" w:rsidRDefault="00463BF2" w:rsidP="00531C7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D266D">
              <w:rPr>
                <w:rFonts w:ascii="Arial Narrow" w:hAnsi="Arial Narrow"/>
                <w:b/>
              </w:rPr>
              <w:t>Literatura</w:t>
            </w:r>
          </w:p>
        </w:tc>
      </w:tr>
      <w:tr w:rsidR="005E5B85" w:rsidRPr="002D266D" w14:paraId="144A8E6E" w14:textId="77777777" w:rsidTr="002D266D">
        <w:trPr>
          <w:trHeight w:val="143"/>
        </w:trPr>
        <w:tc>
          <w:tcPr>
            <w:tcW w:w="654" w:type="dxa"/>
            <w:vAlign w:val="center"/>
          </w:tcPr>
          <w:p w14:paraId="681D6CCB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BE3858E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7287824F" w14:textId="77777777" w:rsidR="005E5B85" w:rsidRPr="002D266D" w:rsidRDefault="005E5B85" w:rsidP="005E5B8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Uvod</w:t>
            </w:r>
          </w:p>
        </w:tc>
        <w:tc>
          <w:tcPr>
            <w:tcW w:w="1137" w:type="dxa"/>
            <w:vAlign w:val="center"/>
          </w:tcPr>
          <w:p w14:paraId="539EF5DA" w14:textId="77777777" w:rsidR="005E5B85" w:rsidRPr="002D266D" w:rsidRDefault="005E5B85" w:rsidP="0009742C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5E5B85" w:rsidRPr="002D266D" w14:paraId="70A3ECDB" w14:textId="77777777" w:rsidTr="00531C75">
        <w:trPr>
          <w:trHeight w:val="91"/>
        </w:trPr>
        <w:tc>
          <w:tcPr>
            <w:tcW w:w="654" w:type="dxa"/>
            <w:vAlign w:val="center"/>
          </w:tcPr>
          <w:p w14:paraId="0B46CA76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5D1C2B2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4B26F87C" w14:textId="77777777" w:rsidR="005E5B85" w:rsidRPr="002D266D" w:rsidRDefault="005E5B85" w:rsidP="002D266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</w:rPr>
              <w:t>Terminologija</w:t>
            </w:r>
          </w:p>
        </w:tc>
        <w:tc>
          <w:tcPr>
            <w:tcW w:w="1137" w:type="dxa"/>
            <w:vAlign w:val="center"/>
          </w:tcPr>
          <w:p w14:paraId="31179460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1A8A107F" w14:textId="77777777" w:rsidTr="00531C75">
        <w:trPr>
          <w:trHeight w:val="91"/>
        </w:trPr>
        <w:tc>
          <w:tcPr>
            <w:tcW w:w="654" w:type="dxa"/>
            <w:vAlign w:val="center"/>
          </w:tcPr>
          <w:p w14:paraId="5BC2806C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59A9B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6AC9114F" w14:textId="77777777" w:rsidR="005E5B85" w:rsidRPr="002D266D" w:rsidRDefault="005E5B85" w:rsidP="002D266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umjetnosti drevnih civilizacija i antike</w:t>
            </w:r>
          </w:p>
        </w:tc>
        <w:tc>
          <w:tcPr>
            <w:tcW w:w="1137" w:type="dxa"/>
            <w:vAlign w:val="center"/>
          </w:tcPr>
          <w:p w14:paraId="3EA9FE35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46D950F9" w14:textId="77777777" w:rsidTr="00531C7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DA7986D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6197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49FCF72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ranok</w:t>
            </w:r>
            <w:r>
              <w:rPr>
                <w:rFonts w:ascii="Arial Narrow" w:hAnsi="Arial Narrow" w:cs="Calibri"/>
                <w:noProof/>
              </w:rPr>
              <w:t xml:space="preserve">ršćanske i ranosrednjovjekovne </w:t>
            </w:r>
            <w:r w:rsidRPr="002D266D">
              <w:rPr>
                <w:rFonts w:ascii="Arial Narrow" w:hAnsi="Arial Narrow" w:cs="Calibri"/>
                <w:noProof/>
              </w:rPr>
              <w:t>umjetnosti</w:t>
            </w:r>
          </w:p>
        </w:tc>
        <w:tc>
          <w:tcPr>
            <w:tcW w:w="1137" w:type="dxa"/>
            <w:vAlign w:val="center"/>
          </w:tcPr>
          <w:p w14:paraId="11E63058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62234DA1" w14:textId="77777777" w:rsidTr="00531C7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A04325B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4FE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3BC9623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ranokršćanske i ranosrednjovjekovne umjetnosti</w:t>
            </w:r>
          </w:p>
        </w:tc>
        <w:tc>
          <w:tcPr>
            <w:tcW w:w="1137" w:type="dxa"/>
            <w:vAlign w:val="center"/>
          </w:tcPr>
          <w:p w14:paraId="64D88997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2053AB49" w14:textId="77777777" w:rsidTr="00531C7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7F660947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94C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7C8CFDF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kasnosrednjovjekovne umjetnosti</w:t>
            </w:r>
          </w:p>
        </w:tc>
        <w:tc>
          <w:tcPr>
            <w:tcW w:w="1137" w:type="dxa"/>
            <w:vAlign w:val="center"/>
          </w:tcPr>
          <w:p w14:paraId="3DDB4786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689CB8E8" w14:textId="77777777" w:rsidTr="00531C75">
        <w:trPr>
          <w:trHeight w:val="91"/>
        </w:trPr>
        <w:tc>
          <w:tcPr>
            <w:tcW w:w="654" w:type="dxa"/>
            <w:vAlign w:val="center"/>
          </w:tcPr>
          <w:p w14:paraId="44DECD8F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0D013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12BB3CAD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kasnosrednjovjekovne umjetnosti</w:t>
            </w:r>
          </w:p>
        </w:tc>
        <w:tc>
          <w:tcPr>
            <w:tcW w:w="1137" w:type="dxa"/>
            <w:vAlign w:val="center"/>
          </w:tcPr>
          <w:p w14:paraId="34136F2C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39EF9239" w14:textId="77777777" w:rsidTr="00531C75">
        <w:trPr>
          <w:trHeight w:val="91"/>
        </w:trPr>
        <w:tc>
          <w:tcPr>
            <w:tcW w:w="654" w:type="dxa"/>
            <w:vAlign w:val="center"/>
          </w:tcPr>
          <w:p w14:paraId="5F6E98E3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0EC18ED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6C851B7B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ranorenesansne umjetnosti</w:t>
            </w:r>
          </w:p>
        </w:tc>
        <w:tc>
          <w:tcPr>
            <w:tcW w:w="1137" w:type="dxa"/>
            <w:vAlign w:val="center"/>
          </w:tcPr>
          <w:p w14:paraId="497C204A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6D280667" w14:textId="77777777" w:rsidTr="00531C75">
        <w:trPr>
          <w:trHeight w:val="91"/>
        </w:trPr>
        <w:tc>
          <w:tcPr>
            <w:tcW w:w="654" w:type="dxa"/>
            <w:vAlign w:val="center"/>
          </w:tcPr>
          <w:p w14:paraId="36C9584B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54D08F0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575CDB45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zrelorenesansne i manirističke umjetnosti</w:t>
            </w:r>
          </w:p>
        </w:tc>
        <w:tc>
          <w:tcPr>
            <w:tcW w:w="1137" w:type="dxa"/>
            <w:vAlign w:val="center"/>
          </w:tcPr>
          <w:p w14:paraId="2054B81D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466C860A" w14:textId="77777777" w:rsidTr="00531C75">
        <w:trPr>
          <w:trHeight w:val="91"/>
        </w:trPr>
        <w:tc>
          <w:tcPr>
            <w:tcW w:w="654" w:type="dxa"/>
            <w:vAlign w:val="center"/>
          </w:tcPr>
          <w:p w14:paraId="338A7D67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2F9A61E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1E66B49A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barokne umjetnosti</w:t>
            </w:r>
          </w:p>
        </w:tc>
        <w:tc>
          <w:tcPr>
            <w:tcW w:w="1137" w:type="dxa"/>
            <w:vAlign w:val="center"/>
          </w:tcPr>
          <w:p w14:paraId="652B3A68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67A7048D" w14:textId="77777777" w:rsidTr="00531C75">
        <w:trPr>
          <w:trHeight w:val="91"/>
        </w:trPr>
        <w:tc>
          <w:tcPr>
            <w:tcW w:w="654" w:type="dxa"/>
            <w:vAlign w:val="center"/>
          </w:tcPr>
          <w:p w14:paraId="4C5F1ACE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7941D42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083377AC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barokne umjetnosti</w:t>
            </w:r>
          </w:p>
        </w:tc>
        <w:tc>
          <w:tcPr>
            <w:tcW w:w="1137" w:type="dxa"/>
            <w:vAlign w:val="center"/>
          </w:tcPr>
          <w:p w14:paraId="3982BD5A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6180A591" w14:textId="77777777" w:rsidTr="00531C75">
        <w:trPr>
          <w:trHeight w:val="91"/>
        </w:trPr>
        <w:tc>
          <w:tcPr>
            <w:tcW w:w="654" w:type="dxa"/>
            <w:vAlign w:val="center"/>
          </w:tcPr>
          <w:p w14:paraId="0D6693C8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3400B1E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vAlign w:val="center"/>
          </w:tcPr>
          <w:p w14:paraId="3AF73EDD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umjetnosti 19. stoljeća</w:t>
            </w:r>
          </w:p>
        </w:tc>
        <w:tc>
          <w:tcPr>
            <w:tcW w:w="1137" w:type="dxa"/>
            <w:vAlign w:val="center"/>
          </w:tcPr>
          <w:p w14:paraId="3A336A45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4F797070" w14:textId="77777777" w:rsidTr="00531C75">
        <w:trPr>
          <w:trHeight w:val="91"/>
        </w:trPr>
        <w:tc>
          <w:tcPr>
            <w:tcW w:w="654" w:type="dxa"/>
            <w:vAlign w:val="center"/>
          </w:tcPr>
          <w:p w14:paraId="1F5C96FA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E18AC7E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39E360A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moderne i suvremene umjetnosti</w:t>
            </w:r>
          </w:p>
        </w:tc>
        <w:tc>
          <w:tcPr>
            <w:tcW w:w="1137" w:type="dxa"/>
            <w:vAlign w:val="center"/>
          </w:tcPr>
          <w:p w14:paraId="778BF66B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E5B85" w:rsidRPr="002D266D" w14:paraId="56088CDA" w14:textId="77777777" w:rsidTr="00531C75">
        <w:trPr>
          <w:trHeight w:val="91"/>
        </w:trPr>
        <w:tc>
          <w:tcPr>
            <w:tcW w:w="654" w:type="dxa"/>
            <w:vAlign w:val="center"/>
          </w:tcPr>
          <w:p w14:paraId="00DB656A" w14:textId="77777777" w:rsidR="005E5B85" w:rsidRPr="002D266D" w:rsidRDefault="005E5B85" w:rsidP="00531C7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D266D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BCE361F" w14:textId="77777777" w:rsidR="005E5B85" w:rsidRPr="002D266D" w:rsidRDefault="005E5B85" w:rsidP="00452D15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0FF4052" w14:textId="77777777" w:rsidR="005E5B85" w:rsidRPr="002D266D" w:rsidRDefault="005E5B85" w:rsidP="00452D15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2D266D">
              <w:rPr>
                <w:rFonts w:ascii="Arial Narrow" w:hAnsi="Arial Narrow" w:cs="Calibri"/>
                <w:noProof/>
              </w:rPr>
              <w:t>Interpretacija likovnosti moderne i suvremene umjetnosti</w:t>
            </w:r>
          </w:p>
        </w:tc>
        <w:tc>
          <w:tcPr>
            <w:tcW w:w="1137" w:type="dxa"/>
            <w:vAlign w:val="center"/>
          </w:tcPr>
          <w:p w14:paraId="4B534EF3" w14:textId="77777777" w:rsidR="005E5B85" w:rsidRPr="002D266D" w:rsidRDefault="005E5B85" w:rsidP="00531C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1107977" w14:textId="77777777" w:rsidR="00463BF2" w:rsidRPr="002D266D" w:rsidRDefault="00463BF2" w:rsidP="00463BF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10107DC9" w14:textId="77777777" w:rsidR="00463BF2" w:rsidRPr="002D266D" w:rsidRDefault="00463BF2" w:rsidP="00463BF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14:paraId="63B63A4B" w14:textId="77777777" w:rsidR="00463BF2" w:rsidRPr="002D266D" w:rsidRDefault="00463BF2" w:rsidP="00463BF2">
      <w:pPr>
        <w:rPr>
          <w:rFonts w:ascii="Arial Narrow" w:hAnsi="Arial Narrow"/>
        </w:rPr>
      </w:pPr>
    </w:p>
    <w:p w14:paraId="60E74AE0" w14:textId="77777777" w:rsidR="00463BF2" w:rsidRPr="002D266D" w:rsidRDefault="00463BF2" w:rsidP="00463BF2">
      <w:pPr>
        <w:rPr>
          <w:rFonts w:ascii="Arial Narrow" w:hAnsi="Arial Narrow"/>
        </w:rPr>
      </w:pPr>
    </w:p>
    <w:p w14:paraId="24306857" w14:textId="77777777" w:rsidR="00463BF2" w:rsidRPr="002D266D" w:rsidRDefault="00463BF2" w:rsidP="00463BF2">
      <w:pPr>
        <w:rPr>
          <w:rFonts w:ascii="Arial Narrow" w:hAnsi="Arial Narrow"/>
        </w:rPr>
      </w:pPr>
    </w:p>
    <w:p w14:paraId="701F99D5" w14:textId="77777777" w:rsidR="00463BF2" w:rsidRPr="002D266D" w:rsidRDefault="00463BF2" w:rsidP="00463BF2">
      <w:pPr>
        <w:rPr>
          <w:rFonts w:ascii="Arial Narrow" w:hAnsi="Arial Narrow"/>
        </w:rPr>
      </w:pPr>
    </w:p>
    <w:p w14:paraId="075D847B" w14:textId="77777777" w:rsidR="00463BF2" w:rsidRPr="002D266D" w:rsidRDefault="00463BF2" w:rsidP="00463BF2">
      <w:pPr>
        <w:rPr>
          <w:rFonts w:ascii="Arial Narrow" w:hAnsi="Arial Narrow"/>
        </w:rPr>
      </w:pPr>
    </w:p>
    <w:p w14:paraId="29B01F27" w14:textId="77777777" w:rsidR="00CF326A" w:rsidRPr="002D266D" w:rsidRDefault="00CF326A">
      <w:pPr>
        <w:rPr>
          <w:rFonts w:ascii="Arial Narrow" w:hAnsi="Arial Narrow"/>
        </w:rPr>
      </w:pPr>
    </w:p>
    <w:sectPr w:rsidR="00CF326A" w:rsidRPr="002D266D" w:rsidSect="00463BF2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5FE"/>
    <w:multiLevelType w:val="hybridMultilevel"/>
    <w:tmpl w:val="514ADB4E"/>
    <w:lvl w:ilvl="0" w:tplc="1B6EC00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F2"/>
    <w:rsid w:val="000764F0"/>
    <w:rsid w:val="0009742C"/>
    <w:rsid w:val="001F7E7F"/>
    <w:rsid w:val="002314FD"/>
    <w:rsid w:val="002D266D"/>
    <w:rsid w:val="0032786A"/>
    <w:rsid w:val="00412AAD"/>
    <w:rsid w:val="00436E17"/>
    <w:rsid w:val="00452D15"/>
    <w:rsid w:val="00463BF2"/>
    <w:rsid w:val="00531C75"/>
    <w:rsid w:val="005E5B85"/>
    <w:rsid w:val="0065049B"/>
    <w:rsid w:val="006A2FA7"/>
    <w:rsid w:val="006F67CF"/>
    <w:rsid w:val="0076063D"/>
    <w:rsid w:val="009C7389"/>
    <w:rsid w:val="00BC142C"/>
    <w:rsid w:val="00BC3904"/>
    <w:rsid w:val="00C640A9"/>
    <w:rsid w:val="00CC7159"/>
    <w:rsid w:val="00CD5C40"/>
    <w:rsid w:val="00CE0F38"/>
    <w:rsid w:val="00CF326A"/>
    <w:rsid w:val="00D365D1"/>
    <w:rsid w:val="00DE063A"/>
    <w:rsid w:val="00ED6EC6"/>
    <w:rsid w:val="00F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DAF3"/>
  <w15:chartTrackingRefBased/>
  <w15:docId w15:val="{A6000297-444C-4828-B4A2-1C7C585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5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isT</cp:lastModifiedBy>
  <cp:revision>3</cp:revision>
  <cp:lastPrinted>2015-08-25T09:23:00Z</cp:lastPrinted>
  <dcterms:created xsi:type="dcterms:W3CDTF">2018-09-16T19:17:00Z</dcterms:created>
  <dcterms:modified xsi:type="dcterms:W3CDTF">2018-09-17T21:18:00Z</dcterms:modified>
</cp:coreProperties>
</file>