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418"/>
        <w:gridCol w:w="455"/>
        <w:gridCol w:w="1088"/>
        <w:gridCol w:w="1083"/>
        <w:gridCol w:w="460"/>
        <w:gridCol w:w="2039"/>
      </w:tblGrid>
      <w:tr w:rsidR="00944C43" w:rsidRPr="00A7052B" w14:paraId="1EE138A3" w14:textId="77777777" w:rsidTr="00E62284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14:paraId="0179B57A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533CA36" w14:textId="77777777" w:rsidR="00944C43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Diplomski jednopredmetni sveučilišni studij povijesti umjetnosti</w:t>
            </w:r>
          </w:p>
        </w:tc>
      </w:tr>
      <w:tr w:rsidR="00944C43" w:rsidRPr="00A7052B" w14:paraId="1553DD2E" w14:textId="77777777" w:rsidTr="00E62284">
        <w:tc>
          <w:tcPr>
            <w:tcW w:w="2921" w:type="dxa"/>
            <w:shd w:val="clear" w:color="auto" w:fill="FFFFE5"/>
            <w:vAlign w:val="center"/>
          </w:tcPr>
          <w:p w14:paraId="41467AFA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7E89C07" w14:textId="77777777" w:rsidR="00A7052B" w:rsidRDefault="008860DD" w:rsidP="008860DD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 w:rsidRPr="00A7052B">
              <w:rPr>
                <w:rFonts w:ascii="Arial Narrow" w:hAnsi="Arial Narrow" w:cs="Calibri"/>
                <w:noProof/>
              </w:rPr>
              <w:t xml:space="preserve">METODE OBRADE POVIJESNOUMJETNIČKE GRAĐE </w:t>
            </w:r>
          </w:p>
          <w:p w14:paraId="41B69A8D" w14:textId="77777777" w:rsidR="00944C43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Calibri"/>
                <w:noProof/>
              </w:rPr>
              <w:t>(PU</w:t>
            </w:r>
            <w:r w:rsidR="00FA1EFE">
              <w:rPr>
                <w:rFonts w:ascii="Arial Narrow" w:hAnsi="Arial Narrow" w:cs="Calibri"/>
                <w:noProof/>
              </w:rPr>
              <w:t>M</w:t>
            </w:r>
            <w:r w:rsidRPr="00A7052B">
              <w:rPr>
                <w:rFonts w:ascii="Arial Narrow" w:hAnsi="Arial Narrow" w:cs="Calibri"/>
                <w:noProof/>
              </w:rPr>
              <w:t xml:space="preserve"> 10</w:t>
            </w:r>
            <w:r w:rsidR="00FA1EFE">
              <w:rPr>
                <w:rFonts w:ascii="Arial Narrow" w:hAnsi="Arial Narrow" w:cs="Calibri"/>
                <w:noProof/>
              </w:rPr>
              <w:t>3</w:t>
            </w:r>
            <w:r w:rsidRPr="00A7052B">
              <w:rPr>
                <w:rFonts w:ascii="Arial Narrow" w:hAnsi="Arial Narrow" w:cs="Calibri"/>
                <w:noProof/>
              </w:rPr>
              <w:t>)</w:t>
            </w:r>
          </w:p>
        </w:tc>
      </w:tr>
      <w:tr w:rsidR="00944C43" w:rsidRPr="00A7052B" w14:paraId="3B02F1ED" w14:textId="77777777" w:rsidTr="00E62284">
        <w:tc>
          <w:tcPr>
            <w:tcW w:w="2921" w:type="dxa"/>
            <w:shd w:val="clear" w:color="auto" w:fill="FFFFE5"/>
            <w:vAlign w:val="center"/>
          </w:tcPr>
          <w:p w14:paraId="4D58EBE7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75ECD9D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Obavezni</w:t>
            </w:r>
          </w:p>
        </w:tc>
      </w:tr>
      <w:tr w:rsidR="00944C43" w:rsidRPr="00A7052B" w14:paraId="3209C213" w14:textId="77777777" w:rsidTr="00E62284">
        <w:tc>
          <w:tcPr>
            <w:tcW w:w="2921" w:type="dxa"/>
            <w:shd w:val="clear" w:color="auto" w:fill="FFFFE5"/>
            <w:vAlign w:val="center"/>
          </w:tcPr>
          <w:p w14:paraId="7B07EE88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7A56C4A6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1.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14:paraId="6DC30E36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6F051BD6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1.</w:t>
            </w:r>
          </w:p>
        </w:tc>
      </w:tr>
      <w:tr w:rsidR="00944C43" w:rsidRPr="00A7052B" w14:paraId="670706AD" w14:textId="77777777" w:rsidTr="00E62284">
        <w:tc>
          <w:tcPr>
            <w:tcW w:w="2921" w:type="dxa"/>
            <w:shd w:val="clear" w:color="auto" w:fill="FFFFE5"/>
            <w:vAlign w:val="center"/>
          </w:tcPr>
          <w:p w14:paraId="3B672AF2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7FE749CC" w14:textId="77777777" w:rsidR="00944C43" w:rsidRPr="00A7052B" w:rsidRDefault="00FA1EF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944C43" w:rsidRPr="00A7052B" w14:paraId="6C900D09" w14:textId="77777777" w:rsidTr="00E62284">
        <w:tc>
          <w:tcPr>
            <w:tcW w:w="2921" w:type="dxa"/>
            <w:shd w:val="clear" w:color="auto" w:fill="FFFFE5"/>
            <w:vAlign w:val="center"/>
          </w:tcPr>
          <w:p w14:paraId="13980686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A3EF6D4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Calibri"/>
                <w:noProof/>
              </w:rPr>
              <w:t>doc. dr. sc. Danko Zelić</w:t>
            </w:r>
          </w:p>
        </w:tc>
      </w:tr>
      <w:tr w:rsidR="00944C43" w:rsidRPr="00A7052B" w14:paraId="6772AF7D" w14:textId="77777777" w:rsidTr="00E62284">
        <w:tc>
          <w:tcPr>
            <w:tcW w:w="2921" w:type="dxa"/>
            <w:shd w:val="clear" w:color="auto" w:fill="FFFFE5"/>
            <w:vAlign w:val="center"/>
          </w:tcPr>
          <w:p w14:paraId="6D51134B" w14:textId="77777777" w:rsidR="00944C43" w:rsidRPr="00A7052B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A5E1C5B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Calibri"/>
                <w:noProof/>
              </w:rPr>
              <w:t>danko@ipu.hr</w:t>
            </w:r>
          </w:p>
        </w:tc>
      </w:tr>
      <w:tr w:rsidR="00944C43" w:rsidRPr="00A7052B" w14:paraId="0F2BC9F0" w14:textId="77777777" w:rsidTr="00E62284">
        <w:tc>
          <w:tcPr>
            <w:tcW w:w="2921" w:type="dxa"/>
            <w:shd w:val="clear" w:color="auto" w:fill="FFFFE5"/>
            <w:vAlign w:val="center"/>
          </w:tcPr>
          <w:p w14:paraId="35C345D9" w14:textId="77777777" w:rsidR="00944C43" w:rsidRPr="00A7052B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F5B5DD7" w14:textId="77777777" w:rsidR="00944C43" w:rsidRPr="00A7052B" w:rsidRDefault="00E622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E62284" w:rsidRPr="00A7052B" w14:paraId="45E0744C" w14:textId="77777777" w:rsidTr="00E62284">
        <w:tc>
          <w:tcPr>
            <w:tcW w:w="2921" w:type="dxa"/>
            <w:shd w:val="clear" w:color="auto" w:fill="FFFFE5"/>
            <w:vAlign w:val="center"/>
          </w:tcPr>
          <w:p w14:paraId="1DEEC4F2" w14:textId="77777777" w:rsidR="00E62284" w:rsidRPr="00A7052B" w:rsidRDefault="00E62284" w:rsidP="00E6228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C0639B3" w14:textId="77777777" w:rsidR="00E62284" w:rsidRPr="009871F5" w:rsidRDefault="00AC293D" w:rsidP="00E6228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E62284" w:rsidRPr="00A7052B" w14:paraId="2B9A10B5" w14:textId="77777777" w:rsidTr="00E62284">
        <w:tc>
          <w:tcPr>
            <w:tcW w:w="2921" w:type="dxa"/>
            <w:shd w:val="clear" w:color="auto" w:fill="FFFFE5"/>
            <w:vAlign w:val="center"/>
          </w:tcPr>
          <w:p w14:paraId="4EDA7395" w14:textId="77777777" w:rsidR="00E62284" w:rsidRPr="00A7052B" w:rsidRDefault="00E62284" w:rsidP="00E62284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D90EB27" w14:textId="77777777" w:rsidR="00E62284" w:rsidRPr="009871F5" w:rsidRDefault="00AC293D" w:rsidP="00E6228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944C43" w:rsidRPr="00A7052B" w14:paraId="1CEDDFD5" w14:textId="77777777" w:rsidTr="00E62284">
        <w:tc>
          <w:tcPr>
            <w:tcW w:w="2921" w:type="dxa"/>
            <w:shd w:val="clear" w:color="auto" w:fill="FFFFE5"/>
            <w:vAlign w:val="center"/>
          </w:tcPr>
          <w:p w14:paraId="507FCBEA" w14:textId="77777777" w:rsidR="00944C43" w:rsidRPr="00A7052B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1BEB9E1" w14:textId="77777777" w:rsidR="00944C43" w:rsidRPr="00A7052B" w:rsidRDefault="00AC293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44C43" w:rsidRPr="00A7052B" w14:paraId="1D6750FA" w14:textId="77777777" w:rsidTr="00E62284">
        <w:tc>
          <w:tcPr>
            <w:tcW w:w="2921" w:type="dxa"/>
            <w:shd w:val="clear" w:color="auto" w:fill="FFFFE5"/>
            <w:vAlign w:val="center"/>
          </w:tcPr>
          <w:p w14:paraId="6CB0A1DA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F3E203B" w14:textId="77777777" w:rsidR="00944C43" w:rsidRPr="00A7052B" w:rsidRDefault="008860DD" w:rsidP="00FA1EFE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Dvorana 11</w:t>
            </w:r>
            <w:r w:rsidR="00FA1EFE">
              <w:rPr>
                <w:rFonts w:ascii="Arial Narrow" w:hAnsi="Arial Narrow" w:cs="Arial"/>
              </w:rPr>
              <w:t>3 O</w:t>
            </w:r>
            <w:r w:rsidRPr="00A7052B">
              <w:rPr>
                <w:rFonts w:ascii="Arial Narrow" w:hAnsi="Arial Narrow" w:cs="Arial"/>
              </w:rPr>
              <w:t>djela za povijest umjetnosti</w:t>
            </w:r>
          </w:p>
        </w:tc>
      </w:tr>
      <w:tr w:rsidR="00944C43" w:rsidRPr="00A7052B" w14:paraId="58314128" w14:textId="77777777" w:rsidTr="00E62284">
        <w:trPr>
          <w:trHeight w:val="595"/>
        </w:trPr>
        <w:tc>
          <w:tcPr>
            <w:tcW w:w="2921" w:type="dxa"/>
            <w:shd w:val="clear" w:color="auto" w:fill="FFFFE5"/>
            <w:vAlign w:val="center"/>
          </w:tcPr>
          <w:p w14:paraId="1F9A3C9F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7B146345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Predavanja, diskusije sa studentima</w:t>
            </w:r>
          </w:p>
        </w:tc>
      </w:tr>
      <w:tr w:rsidR="00944C43" w:rsidRPr="00A7052B" w14:paraId="11FDD79E" w14:textId="77777777" w:rsidTr="00E62284">
        <w:tc>
          <w:tcPr>
            <w:tcW w:w="2921" w:type="dxa"/>
            <w:shd w:val="clear" w:color="auto" w:fill="FFFFE5"/>
            <w:vAlign w:val="center"/>
          </w:tcPr>
          <w:p w14:paraId="749D755E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8F2F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30 P + 30 S</w:t>
            </w:r>
          </w:p>
        </w:tc>
      </w:tr>
      <w:tr w:rsidR="00944C43" w:rsidRPr="00A7052B" w14:paraId="617E025C" w14:textId="77777777" w:rsidTr="00E62284">
        <w:tc>
          <w:tcPr>
            <w:tcW w:w="2921" w:type="dxa"/>
            <w:shd w:val="clear" w:color="auto" w:fill="FFFFE5"/>
            <w:vAlign w:val="center"/>
          </w:tcPr>
          <w:p w14:paraId="52457E32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72E0A" w14:textId="77777777" w:rsidR="00944C43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Usmeni ispit</w:t>
            </w:r>
          </w:p>
        </w:tc>
      </w:tr>
      <w:tr w:rsidR="0029299C" w:rsidRPr="00A7052B" w14:paraId="71C64744" w14:textId="77777777" w:rsidTr="00E62284">
        <w:tc>
          <w:tcPr>
            <w:tcW w:w="2921" w:type="dxa"/>
            <w:shd w:val="clear" w:color="auto" w:fill="FFFFE5"/>
            <w:vAlign w:val="center"/>
          </w:tcPr>
          <w:p w14:paraId="3A2D5D43" w14:textId="77777777" w:rsidR="0029299C" w:rsidRPr="00A7052B" w:rsidRDefault="0029299C" w:rsidP="0029299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A502" w14:textId="77777777" w:rsidR="0029299C" w:rsidRDefault="0029299C" w:rsidP="0029299C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54A3D7A" w14:textId="77777777" w:rsidR="0029299C" w:rsidRDefault="0029299C" w:rsidP="0029299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565FB" w14:textId="77777777" w:rsidR="0029299C" w:rsidRDefault="0029299C" w:rsidP="0029299C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bookmarkStart w:id="0" w:name="_GoBack"/>
            <w:bookmarkEnd w:id="0"/>
          </w:p>
        </w:tc>
      </w:tr>
      <w:tr w:rsidR="00944C43" w:rsidRPr="00A7052B" w14:paraId="5F3DBF9A" w14:textId="77777777" w:rsidTr="00E62284">
        <w:tc>
          <w:tcPr>
            <w:tcW w:w="2921" w:type="dxa"/>
            <w:vMerge w:val="restart"/>
            <w:shd w:val="clear" w:color="auto" w:fill="FFFFE5"/>
            <w:vAlign w:val="center"/>
          </w:tcPr>
          <w:p w14:paraId="5EA8E9EC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18" w:type="dxa"/>
            <w:shd w:val="clear" w:color="auto" w:fill="FFFFE5"/>
            <w:vAlign w:val="center"/>
          </w:tcPr>
          <w:p w14:paraId="1122E412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543" w:type="dxa"/>
            <w:gridSpan w:val="2"/>
            <w:shd w:val="clear" w:color="auto" w:fill="FFFFE5"/>
            <w:vAlign w:val="center"/>
          </w:tcPr>
          <w:p w14:paraId="02943825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543" w:type="dxa"/>
            <w:gridSpan w:val="2"/>
            <w:shd w:val="clear" w:color="auto" w:fill="FFFFE5"/>
            <w:vAlign w:val="center"/>
          </w:tcPr>
          <w:p w14:paraId="0B3AA05D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039" w:type="dxa"/>
            <w:shd w:val="clear" w:color="auto" w:fill="FFFFE5"/>
            <w:vAlign w:val="center"/>
          </w:tcPr>
          <w:p w14:paraId="6326B6C0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7052B" w14:paraId="26FF8F0E" w14:textId="77777777" w:rsidTr="00E62284">
        <w:trPr>
          <w:trHeight w:val="681"/>
        </w:trPr>
        <w:tc>
          <w:tcPr>
            <w:tcW w:w="2921" w:type="dxa"/>
            <w:vMerge/>
            <w:shd w:val="clear" w:color="auto" w:fill="FFFFE5"/>
            <w:vAlign w:val="center"/>
          </w:tcPr>
          <w:p w14:paraId="5EEC5C06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932D4B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253D6B4B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4049D5F1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BA15324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7052B" w14:paraId="282A00FE" w14:textId="77777777" w:rsidTr="00E62284">
        <w:tc>
          <w:tcPr>
            <w:tcW w:w="2921" w:type="dxa"/>
            <w:vMerge w:val="restart"/>
            <w:shd w:val="clear" w:color="auto" w:fill="FFFFE5"/>
            <w:vAlign w:val="center"/>
          </w:tcPr>
          <w:p w14:paraId="351FD30B" w14:textId="77777777" w:rsidR="00944C43" w:rsidRPr="00A7052B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18" w:type="dxa"/>
            <w:shd w:val="clear" w:color="auto" w:fill="FFFFE5"/>
            <w:vAlign w:val="center"/>
          </w:tcPr>
          <w:p w14:paraId="20F0275D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543" w:type="dxa"/>
            <w:gridSpan w:val="2"/>
            <w:shd w:val="clear" w:color="auto" w:fill="FFFFE5"/>
            <w:vAlign w:val="center"/>
          </w:tcPr>
          <w:p w14:paraId="3822D082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543" w:type="dxa"/>
            <w:gridSpan w:val="2"/>
            <w:shd w:val="clear" w:color="auto" w:fill="FFFFE5"/>
            <w:vAlign w:val="center"/>
          </w:tcPr>
          <w:p w14:paraId="2AA5EE22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039" w:type="dxa"/>
            <w:shd w:val="clear" w:color="auto" w:fill="FFFFE5"/>
            <w:vAlign w:val="center"/>
          </w:tcPr>
          <w:p w14:paraId="3AAD5F33" w14:textId="77777777" w:rsidR="00944C43" w:rsidRPr="00A7052B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346A2" w:rsidRPr="00A7052B" w14:paraId="6F77C9A7" w14:textId="77777777" w:rsidTr="00E62284">
        <w:trPr>
          <w:trHeight w:val="675"/>
        </w:trPr>
        <w:tc>
          <w:tcPr>
            <w:tcW w:w="2921" w:type="dxa"/>
            <w:vMerge/>
            <w:shd w:val="clear" w:color="auto" w:fill="FFFFE5"/>
            <w:vAlign w:val="center"/>
          </w:tcPr>
          <w:p w14:paraId="6E74E577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3F43A" w14:textId="77777777" w:rsidR="009346A2" w:rsidRPr="00A7052B" w:rsidRDefault="009346A2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680D216C" w14:textId="77777777" w:rsidR="009346A2" w:rsidRPr="00A7052B" w:rsidRDefault="009346A2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5AC80998" w14:textId="77777777" w:rsidR="009346A2" w:rsidRPr="00A7052B" w:rsidRDefault="009346A2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724F27F" w14:textId="77777777" w:rsidR="009346A2" w:rsidRPr="00A7052B" w:rsidRDefault="009346A2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346A2" w:rsidRPr="00A7052B" w14:paraId="543BE912" w14:textId="77777777" w:rsidTr="00E62284">
        <w:trPr>
          <w:trHeight w:val="3354"/>
        </w:trPr>
        <w:tc>
          <w:tcPr>
            <w:tcW w:w="2921" w:type="dxa"/>
            <w:shd w:val="clear" w:color="auto" w:fill="FFFFE5"/>
            <w:vAlign w:val="center"/>
          </w:tcPr>
          <w:p w14:paraId="617FEB80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037A73A2" w14:textId="77777777" w:rsidR="009346A2" w:rsidRPr="00A7052B" w:rsidRDefault="008860DD" w:rsidP="009346A2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Studenti trebaju usvojiti kategorijalni aparat vezan uz metode istraživanja i usustavljivanja rezultata obrade povijesnoumjetničke građe te spoznati nužnost međusobne ovisnosti rada na građi.</w:t>
            </w:r>
          </w:p>
          <w:p w14:paraId="0BB2B112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- retrospektivno sagledavanje i upućivanje u suvremenu praksu discipline povijesti umjetnosti</w:t>
            </w:r>
          </w:p>
          <w:p w14:paraId="613FC140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- analizirati povezanost povijesti umjetnosti s drugim humanističkim znanostima</w:t>
            </w:r>
          </w:p>
          <w:p w14:paraId="65E5998D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- prezentirati i interpretirati rezultate istraživanja</w:t>
            </w:r>
          </w:p>
          <w:p w14:paraId="3440A63E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 xml:space="preserve">- osvijestiti važnost prostorno-vremenskog konteksta u provođenju konkretnih obrazaca istraživanja i interpretacije </w:t>
            </w:r>
          </w:p>
          <w:p w14:paraId="2F366135" w14:textId="77777777" w:rsidR="008860DD" w:rsidRPr="00A7052B" w:rsidRDefault="008860DD" w:rsidP="008860DD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/>
                <w:noProof/>
              </w:rPr>
              <w:t>- usavršiti kompetencije kritičkog pristupa pojedinim segmentima cjeline povijesnoumjetničke građe</w:t>
            </w:r>
          </w:p>
        </w:tc>
      </w:tr>
      <w:tr w:rsidR="009346A2" w:rsidRPr="00A7052B" w14:paraId="580A701F" w14:textId="77777777" w:rsidTr="00E62284">
        <w:tc>
          <w:tcPr>
            <w:tcW w:w="2921" w:type="dxa"/>
            <w:shd w:val="clear" w:color="auto" w:fill="FFFFE5"/>
            <w:vAlign w:val="center"/>
          </w:tcPr>
          <w:p w14:paraId="196947EF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76F960FB" w14:textId="77777777" w:rsidR="009346A2" w:rsidRPr="00A7052B" w:rsidRDefault="00E622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studij povijesti umjetnosti</w:t>
            </w:r>
          </w:p>
        </w:tc>
      </w:tr>
      <w:tr w:rsidR="009346A2" w:rsidRPr="00A7052B" w14:paraId="6E0109D3" w14:textId="77777777" w:rsidTr="00E62284">
        <w:trPr>
          <w:trHeight w:val="4237"/>
        </w:trPr>
        <w:tc>
          <w:tcPr>
            <w:tcW w:w="2921" w:type="dxa"/>
            <w:shd w:val="clear" w:color="auto" w:fill="FFFFE5"/>
            <w:vAlign w:val="center"/>
          </w:tcPr>
          <w:p w14:paraId="237C47AE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lastRenderedPageBreak/>
              <w:t>Sadržaj kolegija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71D69FB2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b/>
                <w:noProof/>
              </w:rPr>
            </w:pPr>
            <w:r w:rsidRPr="00A7052B">
              <w:rPr>
                <w:rFonts w:ascii="Arial Narrow" w:hAnsi="Arial Narrow"/>
                <w:b/>
                <w:noProof/>
              </w:rPr>
              <w:t>POVIJESNOUMJETNIČKA GRAĐA</w:t>
            </w:r>
          </w:p>
          <w:p w14:paraId="51B9666D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 xml:space="preserve">- </w:t>
            </w:r>
            <w:r w:rsidRPr="00A7052B">
              <w:rPr>
                <w:rFonts w:ascii="Arial Narrow" w:hAnsi="Arial Narrow"/>
                <w:noProof/>
                <w:u w:val="single"/>
              </w:rPr>
              <w:t>Metode obrade</w:t>
            </w:r>
            <w:r w:rsidRPr="00A7052B">
              <w:rPr>
                <w:rFonts w:ascii="Arial Narrow" w:hAnsi="Arial Narrow"/>
                <w:noProof/>
              </w:rPr>
              <w:t xml:space="preserve">: kroz retrospektivno sagledavanje i upućivanje u suvremenu praksu discipline povijesti umjetnosti prati razvoj metoda obrade povijesnoumjetničke građe. Povijesnoumjetnička građa definira se kao skup nositelja informacija koje služe kao polazišta u primarnom povijesnoumjetničkom istraživanju, od samih umjetničkih predmeta, preko arhivske građe (literarne, narativne i dokumentarne) i vizualnih izvora do povijesne i povijesnoumjetničke historiografije. </w:t>
            </w:r>
          </w:p>
          <w:p w14:paraId="509B39B1" w14:textId="77777777" w:rsidR="009346A2" w:rsidRPr="00A7052B" w:rsidRDefault="008860DD" w:rsidP="008860DD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/>
                <w:noProof/>
              </w:rPr>
              <w:t xml:space="preserve">- </w:t>
            </w:r>
            <w:r w:rsidRPr="00A7052B">
              <w:rPr>
                <w:rFonts w:ascii="Arial Narrow" w:hAnsi="Arial Narrow"/>
                <w:noProof/>
                <w:u w:val="single"/>
              </w:rPr>
              <w:t>Spoznajni proces</w:t>
            </w:r>
            <w:r w:rsidRPr="00A7052B">
              <w:rPr>
                <w:rFonts w:ascii="Arial Narrow" w:hAnsi="Arial Narrow"/>
                <w:noProof/>
              </w:rPr>
              <w:t>: metode obrade povijesnoumjetničke građe ne tumače se kao pomoćna disciplina povijesti umjetnosti nego kao skup alati za unaprijeđivanje spoznajnog procesa. Pritom se inzistira na povezanosti povijesti umjetnosti s drugim humanističkim znanostima te na povijesnoj uvjetovanosti procesa definiranja područja i polja interesa te ciljeva i zadataka struke u pojedinim razdobljima. Izlaganja prate analize odabranih karakterističnih primjera pristupa obradi građe čija se inovativnost sagledava u kontekstu mjesta i vremena u kojima se pojavljuju.</w:t>
            </w:r>
          </w:p>
        </w:tc>
      </w:tr>
      <w:tr w:rsidR="009346A2" w:rsidRPr="00A7052B" w14:paraId="7F62568D" w14:textId="77777777" w:rsidTr="00E62284">
        <w:trPr>
          <w:trHeight w:val="3251"/>
        </w:trPr>
        <w:tc>
          <w:tcPr>
            <w:tcW w:w="2921" w:type="dxa"/>
            <w:shd w:val="clear" w:color="auto" w:fill="FFFFE5"/>
            <w:vAlign w:val="center"/>
          </w:tcPr>
          <w:p w14:paraId="38E2CB47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F9D44B9" w14:textId="77777777" w:rsidR="009346A2" w:rsidRPr="00A7052B" w:rsidRDefault="008860DD" w:rsidP="00EC1865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  <w:color w:val="000000"/>
              </w:rPr>
            </w:pPr>
            <w:r w:rsidRPr="00A7052B">
              <w:rPr>
                <w:rFonts w:ascii="Arial Narrow" w:hAnsi="Arial Narrow"/>
                <w:noProof/>
              </w:rPr>
              <w:t xml:space="preserve">R. Ivančević, Znanost o umjetnosti - Povijest umjetnosti, u: </w:t>
            </w:r>
            <w:r w:rsidRPr="00A7052B">
              <w:rPr>
                <w:rFonts w:ascii="Arial Narrow" w:hAnsi="Arial Narrow"/>
                <w:b/>
                <w:i/>
                <w:noProof/>
              </w:rPr>
              <w:t>Enciklopedija hrvatske umjetnosti</w:t>
            </w:r>
            <w:r w:rsidRPr="00A7052B">
              <w:rPr>
                <w:rFonts w:ascii="Arial Narrow" w:hAnsi="Arial Narrow"/>
                <w:b/>
                <w:noProof/>
              </w:rPr>
              <w:t>, sv. II</w:t>
            </w:r>
            <w:r w:rsidRPr="00A7052B">
              <w:rPr>
                <w:rFonts w:ascii="Arial Narrow" w:hAnsi="Arial Narrow"/>
                <w:noProof/>
              </w:rPr>
              <w:t xml:space="preserve">, (str. 537-541); </w:t>
            </w:r>
            <w:r w:rsidRPr="00A7052B">
              <w:rPr>
                <w:rFonts w:ascii="Arial Narrow" w:hAnsi="Arial Narrow"/>
                <w:b/>
                <w:i/>
                <w:noProof/>
              </w:rPr>
              <w:t>Uvod u povijest umjetnosti</w:t>
            </w:r>
            <w:r w:rsidRPr="00A7052B">
              <w:rPr>
                <w:rFonts w:ascii="Arial Narrow" w:hAnsi="Arial Narrow"/>
                <w:noProof/>
              </w:rPr>
              <w:t xml:space="preserve"> (ur. H. Belting / H. Dilly / W. Kemp / W. Sauerländer / M. Warnke), Fraktura, Zagreb, 2007., II. dio: Utvrđivanje predmeta, tekstovi: U. Schießl, Utvrđivanje stanja skulptura i slika, (str. 55-83); D. Von Winterfeld, Utvrđivanje predmeta u arhitekturi, (str. 85-112); III. dio: Tumačenje predmeta, tekstovi: H.s Belting - W. Kemp, Uvod, (str. 141-142); H. Bauer, Forma, struktura, stil: povijest i metode formalne analize, (str. 143-158); J.K. Eberlein, Sadržaj i smisao: ikonografsko-ikonološka metoda (str. 159-179); J. Bialostocki, Procvat i kriza znanstvene discipline, u: Jan Bialostocki, </w:t>
            </w:r>
            <w:r w:rsidRPr="00A7052B">
              <w:rPr>
                <w:rFonts w:ascii="Arial Narrow" w:hAnsi="Arial Narrow"/>
                <w:b/>
                <w:i/>
                <w:noProof/>
              </w:rPr>
              <w:t>Povijest umjetnosti i humanističke znanosti</w:t>
            </w:r>
            <w:r w:rsidRPr="00A7052B">
              <w:rPr>
                <w:rFonts w:ascii="Arial Narrow" w:hAnsi="Arial Narrow"/>
                <w:noProof/>
              </w:rPr>
              <w:t xml:space="preserve">, Grafički zavod Hrvatske, Zagreb, 1986., (str. 11-41); R. Ivančević, Stoljeće i pol hrvatske povijesti umjetnosti, u: </w:t>
            </w:r>
            <w:r w:rsidRPr="00A7052B">
              <w:rPr>
                <w:rFonts w:ascii="Arial Narrow" w:hAnsi="Arial Narrow"/>
                <w:b/>
                <w:i/>
                <w:noProof/>
              </w:rPr>
              <w:t>Zbornik 1. kongresa hrvatskih povjesničara umjetnosti</w:t>
            </w:r>
            <w:r w:rsidRPr="00A7052B">
              <w:rPr>
                <w:rFonts w:ascii="Arial Narrow" w:hAnsi="Arial Narrow"/>
                <w:noProof/>
              </w:rPr>
              <w:t xml:space="preserve"> (Zagreb, 15.-17.9.2001), (ur. Milan Pelc), Institut za povijest umjetnosti, Zagreb, 2004., 9-20.; U. Eco, Kako se piše diplomska radnja, u: </w:t>
            </w:r>
            <w:r w:rsidRPr="00A7052B">
              <w:rPr>
                <w:rFonts w:ascii="Arial Narrow" w:hAnsi="Arial Narrow"/>
                <w:b/>
                <w:i/>
                <w:noProof/>
              </w:rPr>
              <w:t>Pitanja</w:t>
            </w:r>
            <w:r w:rsidRPr="00A7052B">
              <w:rPr>
                <w:rFonts w:ascii="Arial Narrow" w:hAnsi="Arial Narrow"/>
                <w:b/>
                <w:noProof/>
              </w:rPr>
              <w:t>, 5-6</w:t>
            </w:r>
            <w:r w:rsidRPr="00A7052B">
              <w:rPr>
                <w:rFonts w:ascii="Arial Narrow" w:hAnsi="Arial Narrow"/>
                <w:noProof/>
              </w:rPr>
              <w:t xml:space="preserve"> (1984) (str. 181–208)</w:t>
            </w:r>
          </w:p>
        </w:tc>
      </w:tr>
      <w:tr w:rsidR="009346A2" w:rsidRPr="00A7052B" w14:paraId="40C28C89" w14:textId="77777777" w:rsidTr="00E62284">
        <w:trPr>
          <w:trHeight w:val="4713"/>
        </w:trPr>
        <w:tc>
          <w:tcPr>
            <w:tcW w:w="2921" w:type="dxa"/>
            <w:shd w:val="clear" w:color="auto" w:fill="FFFFE5"/>
            <w:vAlign w:val="center"/>
          </w:tcPr>
          <w:p w14:paraId="7A9F6E68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15B907B" w14:textId="77777777" w:rsidR="009346A2" w:rsidRPr="00A7052B" w:rsidRDefault="008860DD" w:rsidP="009346A2">
            <w:pPr>
              <w:pStyle w:val="NormalWeb"/>
              <w:spacing w:before="0" w:beforeAutospacing="0" w:after="0" w:afterAutospacing="0"/>
              <w:ind w:left="28"/>
              <w:rPr>
                <w:rFonts w:ascii="Arial Narrow" w:hAnsi="Arial Narrow" w:cs="Calibri"/>
                <w:noProof/>
                <w:sz w:val="22"/>
                <w:szCs w:val="22"/>
              </w:rPr>
            </w:pP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U. Kultermann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, </w:t>
            </w:r>
            <w:r w:rsidRPr="00A7052B">
              <w:rPr>
                <w:rFonts w:ascii="Arial Narrow" w:eastAsia="Calibri" w:hAnsi="Arial Narrow"/>
                <w:b/>
                <w:i/>
                <w:noProof/>
                <w:sz w:val="22"/>
                <w:szCs w:val="22"/>
              </w:rPr>
              <w:t>Povijest povijesti umjetnosti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(prev. M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Pelc), Kontura, Zagreb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2002.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; </w:t>
            </w:r>
            <w:r w:rsidRPr="00A7052B">
              <w:rPr>
                <w:rFonts w:ascii="Arial Narrow" w:eastAsia="Calibri" w:hAnsi="Arial Narrow"/>
                <w:b/>
                <w:i/>
                <w:noProof/>
                <w:sz w:val="22"/>
                <w:szCs w:val="22"/>
              </w:rPr>
              <w:t>Bečka škola povijesti umjetnosti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(prir. i prev. S. Knežević),Barbat, Zagreb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1999.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; </w:t>
            </w:r>
            <w:r w:rsidRPr="00A7052B">
              <w:rPr>
                <w:rFonts w:ascii="Arial Narrow" w:eastAsia="Calibri" w:hAnsi="Arial Narrow"/>
                <w:b/>
                <w:i/>
                <w:noProof/>
                <w:sz w:val="22"/>
                <w:szCs w:val="22"/>
              </w:rPr>
              <w:t>Uvod u povijest umjetnosti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(ur. H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Belting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/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H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Dilly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/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W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Kemp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/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W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Sauerländer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/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M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Warnke),Fraktura, Zagreb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, 2007.,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poglavlja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:O. Bätschmann,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Upute za interpretaciju: povijesnoumj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etnička hermeneutika (str. 181-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208);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H. Belting,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Djelo u kontekstu (str. 209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-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225);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W. Kemp,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Umjetničko djelo i promatrač, pristup estetike recepcij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e (str. 227-2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43);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N. Schneider,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Umjetnost i društ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vo: društveno-povijesni pristup (str. 245-269); </w:t>
            </w:r>
            <w:r w:rsidRPr="00A7052B">
              <w:rPr>
                <w:rFonts w:ascii="Arial Narrow" w:eastAsia="Calibri" w:hAnsi="Arial Narrow"/>
                <w:b/>
                <w:i/>
                <w:noProof/>
                <w:sz w:val="22"/>
                <w:szCs w:val="22"/>
              </w:rPr>
              <w:t>Ideal, forma, simbol: povijesnoumjetničke teorije Winckelmanna, Wölfflina i Warburga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, (ur. M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Pelc), Zagreb, 1995. tekstovi: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J.J. Winckelmann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, Razmišljanja o nasljedovanju grčkih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djela u slikarstvu i kiparstvu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(str. 39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-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75);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H. Woelfflin,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Tumačenje umjetničkih djela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 (str. 79-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101);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A.y Warburg,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Talijanska umjetnost i internacionalna astrologija u palači Schifanoja u Ferrar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i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 (str. 147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-178);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U</w:t>
            </w:r>
            <w:r w:rsidRPr="00A7052B">
              <w:rPr>
                <w:rFonts w:ascii="Arial Narrow" w:eastAsia="Calibri" w:hAnsi="Arial Narrow"/>
                <w:b/>
                <w:i/>
                <w:noProof/>
                <w:sz w:val="22"/>
                <w:szCs w:val="22"/>
              </w:rPr>
              <w:t>mjetničko djelo kao društvena činjenica : kritičke perspektive povijesti umjetnosti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, (ur. Lj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. Kolešnik),Ipu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, Zagreb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 xml:space="preserve">2005. tekst: 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M. Baldwin / C. Harrison / M. Ramsden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, Povijest umjetnosti, likovna kriti</w:t>
            </w:r>
            <w:r w:rsidRPr="00A7052B">
              <w:rPr>
                <w:rFonts w:ascii="Arial Narrow" w:hAnsi="Arial Narrow"/>
                <w:noProof/>
                <w:sz w:val="22"/>
                <w:szCs w:val="22"/>
              </w:rPr>
              <w:t>ka i objašnjavanje (str. 275-</w:t>
            </w:r>
            <w:r w:rsidRPr="00A7052B">
              <w:rPr>
                <w:rFonts w:ascii="Arial Narrow" w:eastAsia="Calibri" w:hAnsi="Arial Narrow"/>
                <w:noProof/>
                <w:sz w:val="22"/>
                <w:szCs w:val="22"/>
              </w:rPr>
              <w:t>311)</w:t>
            </w:r>
          </w:p>
        </w:tc>
      </w:tr>
      <w:tr w:rsidR="009346A2" w:rsidRPr="00A7052B" w14:paraId="0FE2C5C8" w14:textId="77777777" w:rsidTr="00E62284">
        <w:tc>
          <w:tcPr>
            <w:tcW w:w="2921" w:type="dxa"/>
            <w:shd w:val="clear" w:color="auto" w:fill="FFFFE5"/>
            <w:vAlign w:val="center"/>
          </w:tcPr>
          <w:p w14:paraId="0296330C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310D94" w14:textId="77777777" w:rsidR="009346A2" w:rsidRPr="00A7052B" w:rsidRDefault="008860D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7052B">
              <w:rPr>
                <w:rFonts w:ascii="Arial Narrow" w:hAnsi="Arial Narrow" w:cs="Arial"/>
              </w:rPr>
              <w:t>-</w:t>
            </w:r>
          </w:p>
        </w:tc>
      </w:tr>
      <w:tr w:rsidR="009346A2" w:rsidRPr="00A7052B" w14:paraId="71D7B10D" w14:textId="77777777" w:rsidTr="00E62284">
        <w:tc>
          <w:tcPr>
            <w:tcW w:w="2921" w:type="dxa"/>
            <w:shd w:val="clear" w:color="auto" w:fill="FFFFE5"/>
            <w:vAlign w:val="center"/>
          </w:tcPr>
          <w:p w14:paraId="09CA3A10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E223854" w14:textId="77777777" w:rsidR="009346A2" w:rsidRPr="00A7052B" w:rsidRDefault="008860DD" w:rsidP="00EC186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7052B">
              <w:rPr>
                <w:rFonts w:ascii="Arial Narrow" w:hAnsi="Arial Narrow" w:cs="Arial"/>
                <w:noProof/>
              </w:rPr>
              <w:t>Konzultacije, studentska anketa, samoanaliza</w:t>
            </w:r>
          </w:p>
        </w:tc>
      </w:tr>
      <w:tr w:rsidR="009346A2" w:rsidRPr="00A7052B" w14:paraId="04DF2400" w14:textId="77777777" w:rsidTr="00E62284">
        <w:trPr>
          <w:trHeight w:val="1317"/>
        </w:trPr>
        <w:tc>
          <w:tcPr>
            <w:tcW w:w="2921" w:type="dxa"/>
            <w:shd w:val="clear" w:color="auto" w:fill="FFFFE5"/>
            <w:vAlign w:val="center"/>
          </w:tcPr>
          <w:p w14:paraId="7AB024F3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2866767" w14:textId="77777777" w:rsidR="009346A2" w:rsidRPr="00A7052B" w:rsidRDefault="008860DD" w:rsidP="00EC186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seminara.</w:t>
            </w:r>
          </w:p>
          <w:p w14:paraId="0939AE44" w14:textId="77777777" w:rsidR="008860DD" w:rsidRPr="00A7052B" w:rsidRDefault="008860DD" w:rsidP="00EC186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7052B">
              <w:rPr>
                <w:rFonts w:ascii="Arial Narrow" w:hAnsi="Arial Narrow"/>
                <w:noProof/>
              </w:rPr>
              <w:t>Studenti su dužni iščitati odabrani znanstveni članak te ga potom „recenzirati“ u vidu usmenog izlaganja (u sklopu završnog usmenog ispita).</w:t>
            </w:r>
          </w:p>
        </w:tc>
      </w:tr>
      <w:tr w:rsidR="009346A2" w:rsidRPr="00A7052B" w14:paraId="26F3B910" w14:textId="77777777" w:rsidTr="00E62284">
        <w:trPr>
          <w:trHeight w:val="954"/>
        </w:trPr>
        <w:tc>
          <w:tcPr>
            <w:tcW w:w="2921" w:type="dxa"/>
            <w:shd w:val="clear" w:color="auto" w:fill="FFFFE5"/>
            <w:vAlign w:val="center"/>
          </w:tcPr>
          <w:p w14:paraId="7F74B770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BAE40AB" w14:textId="77777777" w:rsidR="009346A2" w:rsidRPr="00A7052B" w:rsidRDefault="008860DD" w:rsidP="00FA1EF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7052B">
              <w:rPr>
                <w:rFonts w:ascii="Arial Narrow" w:hAnsi="Arial Narrow" w:cs="Arial"/>
                <w:noProof/>
              </w:rPr>
              <w:t xml:space="preserve">Raspodjela ECTS bodova prema studijskim obavezama: pohađanje nastave 1,5, seminarski rad/esej 1, rad na literaturi 2, pismeni ispit - , usmeni ispit </w:t>
            </w:r>
            <w:r w:rsidR="00FA1EFE">
              <w:rPr>
                <w:rFonts w:ascii="Arial Narrow" w:hAnsi="Arial Narrow" w:cs="Arial"/>
                <w:noProof/>
              </w:rPr>
              <w:t>1,5</w:t>
            </w:r>
            <w:r w:rsidRPr="00A7052B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9346A2" w:rsidRPr="00A7052B" w14:paraId="28664B0C" w14:textId="77777777" w:rsidTr="00E62284">
        <w:tc>
          <w:tcPr>
            <w:tcW w:w="2921" w:type="dxa"/>
            <w:shd w:val="clear" w:color="auto" w:fill="FFFFE5"/>
            <w:vAlign w:val="center"/>
          </w:tcPr>
          <w:p w14:paraId="6F0F6597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CB93656" w14:textId="77777777" w:rsidR="009346A2" w:rsidRPr="00A7052B" w:rsidRDefault="008860DD" w:rsidP="00EC186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7052B">
              <w:rPr>
                <w:rFonts w:ascii="Arial Narrow" w:hAnsi="Arial Narrow" w:cs="Calibri"/>
                <w:bCs/>
                <w:noProof/>
              </w:rPr>
              <w:t>Usmeni ispit - formiranje ocjene</w:t>
            </w:r>
          </w:p>
        </w:tc>
      </w:tr>
      <w:tr w:rsidR="009346A2" w:rsidRPr="00A7052B" w14:paraId="63D95FB1" w14:textId="77777777" w:rsidTr="00E62284">
        <w:trPr>
          <w:trHeight w:val="620"/>
        </w:trPr>
        <w:tc>
          <w:tcPr>
            <w:tcW w:w="2921" w:type="dxa"/>
            <w:shd w:val="clear" w:color="auto" w:fill="FFFFE5"/>
            <w:vAlign w:val="center"/>
          </w:tcPr>
          <w:p w14:paraId="7759E1F9" w14:textId="77777777" w:rsidR="009346A2" w:rsidRPr="00A7052B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7052B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E3F0CC2" w14:textId="77777777" w:rsidR="009346A2" w:rsidRPr="00A7052B" w:rsidRDefault="008860DD" w:rsidP="009346A2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usmenom obliku.</w:t>
            </w:r>
          </w:p>
        </w:tc>
      </w:tr>
    </w:tbl>
    <w:p w14:paraId="2538F4C0" w14:textId="77777777" w:rsidR="008860DD" w:rsidRPr="00A7052B" w:rsidRDefault="008860DD" w:rsidP="00944C43">
      <w:pPr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A7052B" w14:paraId="75AFAC71" w14:textId="77777777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15122F5D" w14:textId="77777777" w:rsidR="00944C43" w:rsidRPr="00A7052B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944C43" w:rsidRPr="00A7052B" w14:paraId="24A96262" w14:textId="77777777" w:rsidTr="008860D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6F776AF3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534EEEE0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14:paraId="162EF84B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14:paraId="22F824D2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Literatura</w:t>
            </w:r>
          </w:p>
        </w:tc>
      </w:tr>
      <w:tr w:rsidR="008860DD" w:rsidRPr="00A7052B" w14:paraId="5CAA6C0C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1301821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D1A6B3F" w14:textId="77777777" w:rsidR="008860DD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7991581A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Uvodno predavanje</w:t>
            </w:r>
            <w:r w:rsidRPr="00A7052B">
              <w:rPr>
                <w:rFonts w:ascii="Arial Narrow" w:hAnsi="Arial Narrow"/>
                <w:noProof/>
              </w:rPr>
              <w:t>: sadržaj i ciljevi kolegija, plan rada, studentske obveze</w:t>
            </w:r>
          </w:p>
        </w:tc>
        <w:tc>
          <w:tcPr>
            <w:tcW w:w="1279" w:type="dxa"/>
            <w:vAlign w:val="center"/>
          </w:tcPr>
          <w:p w14:paraId="57EDE657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60DD" w:rsidRPr="00A7052B" w14:paraId="032FE249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0FFFD67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7A90141" w14:textId="77777777" w:rsidR="008860DD" w:rsidRPr="00A7052B" w:rsidRDefault="008860DD" w:rsidP="008860DD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39A1F43A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Definicije pojmova i koncepata vezanih uz obradu povijesnoumjetničke građe</w:t>
            </w:r>
            <w:r w:rsidRPr="00A7052B">
              <w:rPr>
                <w:rFonts w:ascii="Arial Narrow" w:hAnsi="Arial Narrow"/>
                <w:noProof/>
              </w:rPr>
              <w:t xml:space="preserve"> (metode, metodologija, teorija povijesti umjetnosti)</w:t>
            </w:r>
          </w:p>
        </w:tc>
        <w:tc>
          <w:tcPr>
            <w:tcW w:w="1279" w:type="dxa"/>
            <w:vAlign w:val="center"/>
          </w:tcPr>
          <w:p w14:paraId="15233834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39F0BC54" w14:textId="77777777" w:rsidTr="008860DD">
        <w:trPr>
          <w:trHeight w:val="91"/>
        </w:trPr>
        <w:tc>
          <w:tcPr>
            <w:tcW w:w="654" w:type="dxa"/>
            <w:vAlign w:val="center"/>
          </w:tcPr>
          <w:p w14:paraId="5F08B142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074B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6975C2AD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"Pretpovijest" povijesti umjetnosti I:  Antika, srednji vijek, renesansa</w:t>
            </w:r>
          </w:p>
        </w:tc>
        <w:tc>
          <w:tcPr>
            <w:tcW w:w="1279" w:type="dxa"/>
            <w:vAlign w:val="center"/>
          </w:tcPr>
          <w:p w14:paraId="65BA5F8E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60679911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375B203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1294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36448A6A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Povijest povijesti umjetnosti II: 16.-20. stoljeće Akademska disciplina od 19. stoljeća</w:t>
            </w:r>
          </w:p>
        </w:tc>
        <w:tc>
          <w:tcPr>
            <w:tcW w:w="1279" w:type="dxa"/>
            <w:vAlign w:val="center"/>
          </w:tcPr>
          <w:p w14:paraId="7E7EC564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79782F04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168183E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7B1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00BE861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Povijest umjetnosti u Hrvatskoj I: od doba renesanse do Ivana Kukuljevića Sakcinskog</w:t>
            </w:r>
          </w:p>
        </w:tc>
        <w:tc>
          <w:tcPr>
            <w:tcW w:w="1279" w:type="dxa"/>
            <w:vAlign w:val="center"/>
          </w:tcPr>
          <w:p w14:paraId="33DE7D42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3A8B26DA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2B0B371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F0A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74203D3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Povijest umjetnosti u Hrvatskoj II: od Izidora Kršnjavog do sredine 20. stoljeća</w:t>
            </w:r>
            <w:r w:rsidRPr="00A7052B">
              <w:rPr>
                <w:rFonts w:ascii="Arial Narrow" w:hAnsi="Arial Narrow"/>
                <w:noProof/>
              </w:rPr>
              <w:t xml:space="preserve"> (Lj. Karaman, C. Fisković, G. Gamulin, K. Prijatelj) </w:t>
            </w:r>
          </w:p>
        </w:tc>
        <w:tc>
          <w:tcPr>
            <w:tcW w:w="1279" w:type="dxa"/>
            <w:vAlign w:val="center"/>
          </w:tcPr>
          <w:p w14:paraId="0A996A2E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7F809EA1" w14:textId="77777777" w:rsidTr="008860DD">
        <w:trPr>
          <w:trHeight w:val="91"/>
        </w:trPr>
        <w:tc>
          <w:tcPr>
            <w:tcW w:w="654" w:type="dxa"/>
            <w:vAlign w:val="center"/>
          </w:tcPr>
          <w:p w14:paraId="075E3F42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D7415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2A4B30CF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Područja interesa povijesti umjetnosti : predmetne i tematske podjele građe u povijesnoj retrospektivi</w:t>
            </w:r>
            <w:r w:rsidRPr="00A7052B">
              <w:rPr>
                <w:rFonts w:ascii="Arial Narrow" w:hAnsi="Arial Narrow"/>
                <w:noProof/>
              </w:rPr>
              <w:t xml:space="preserve"> (dinamika razvoja metodologije istraživanja u funkciji mijenjanja/širenja polja interesa)</w:t>
            </w:r>
          </w:p>
        </w:tc>
        <w:tc>
          <w:tcPr>
            <w:tcW w:w="1279" w:type="dxa"/>
            <w:vAlign w:val="center"/>
          </w:tcPr>
          <w:p w14:paraId="219C2D3F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2D8AFAF8" w14:textId="77777777" w:rsidTr="008860DD">
        <w:trPr>
          <w:trHeight w:val="91"/>
        </w:trPr>
        <w:tc>
          <w:tcPr>
            <w:tcW w:w="654" w:type="dxa"/>
            <w:vAlign w:val="center"/>
          </w:tcPr>
          <w:p w14:paraId="0452710A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9C74B7F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1DA83030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Istraživački postupci: promatranje djela; "povjesničarsko" istraživanje; analiza vizuelnog materijala i dokumentacije; analiza sadržaja; analiza tehničke dokumentacije ; intervju; analiza brojčanih / statističkih podataka</w:t>
            </w:r>
          </w:p>
        </w:tc>
        <w:tc>
          <w:tcPr>
            <w:tcW w:w="1279" w:type="dxa"/>
            <w:vAlign w:val="center"/>
          </w:tcPr>
          <w:p w14:paraId="584D6E3D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7F2EAA9B" w14:textId="77777777" w:rsidTr="008860DD">
        <w:trPr>
          <w:trHeight w:val="91"/>
        </w:trPr>
        <w:tc>
          <w:tcPr>
            <w:tcW w:w="654" w:type="dxa"/>
            <w:vAlign w:val="center"/>
          </w:tcPr>
          <w:p w14:paraId="47CAC9A5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9A698B5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173D2276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Povijesnoumjetnička znanost i teorije spoznaje (metodologija i metode; metode istraživanja građe, metode prezentacije; metode interpretacije)</w:t>
            </w:r>
          </w:p>
          <w:p w14:paraId="1F5FC004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Subjekti i objekti povijesti umjetnosti</w:t>
            </w:r>
          </w:p>
        </w:tc>
        <w:tc>
          <w:tcPr>
            <w:tcW w:w="1279" w:type="dxa"/>
            <w:vAlign w:val="center"/>
          </w:tcPr>
          <w:p w14:paraId="3756274E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1D363223" w14:textId="77777777" w:rsidTr="008860DD">
        <w:trPr>
          <w:trHeight w:val="91"/>
        </w:trPr>
        <w:tc>
          <w:tcPr>
            <w:tcW w:w="654" w:type="dxa"/>
            <w:vAlign w:val="center"/>
          </w:tcPr>
          <w:p w14:paraId="3C540341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E0DB3B2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6EB3A0C2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Organizacija povijesnoumjetničkog znanja, problemi hrvatske i internacionalne terminologije</w:t>
            </w:r>
          </w:p>
        </w:tc>
        <w:tc>
          <w:tcPr>
            <w:tcW w:w="1279" w:type="dxa"/>
            <w:vAlign w:val="center"/>
          </w:tcPr>
          <w:p w14:paraId="7C2B1E4C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6A994B80" w14:textId="77777777" w:rsidTr="008860DD">
        <w:trPr>
          <w:trHeight w:val="91"/>
        </w:trPr>
        <w:tc>
          <w:tcPr>
            <w:tcW w:w="654" w:type="dxa"/>
            <w:vAlign w:val="center"/>
          </w:tcPr>
          <w:p w14:paraId="432E2B2D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D3B3B9B" w14:textId="77777777" w:rsidR="00FA1EFE" w:rsidRPr="00A7052B" w:rsidRDefault="00FA1EFE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446A967B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Utvrđivanje činjenica i interpretacija; protokol istraživanja</w:t>
            </w:r>
          </w:p>
        </w:tc>
        <w:tc>
          <w:tcPr>
            <w:tcW w:w="1279" w:type="dxa"/>
            <w:vAlign w:val="center"/>
          </w:tcPr>
          <w:p w14:paraId="481BB91C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60DD" w:rsidRPr="00A7052B" w14:paraId="23F1EFB0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5F24FA9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BE6B7ED" w14:textId="77777777" w:rsidR="008860DD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2D2AB50C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Arhivski izvori, literatura, slikovni izvori</w:t>
            </w:r>
          </w:p>
        </w:tc>
        <w:tc>
          <w:tcPr>
            <w:tcW w:w="1279" w:type="dxa"/>
            <w:vAlign w:val="center"/>
          </w:tcPr>
          <w:p w14:paraId="5A705ECE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60DD" w:rsidRPr="00A7052B" w14:paraId="3D145ACC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384E72A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CA500E2" w14:textId="77777777" w:rsidR="008860DD" w:rsidRPr="00FA1EFE" w:rsidRDefault="008860DD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11FDB03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Baze podataka: bibliografske baze, repozitoriji tekstova, baze vizualnog materijala</w:t>
            </w:r>
          </w:p>
        </w:tc>
        <w:tc>
          <w:tcPr>
            <w:tcW w:w="1279" w:type="dxa"/>
            <w:vAlign w:val="center"/>
          </w:tcPr>
          <w:p w14:paraId="0E21ADC7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60DD" w:rsidRPr="00A7052B" w14:paraId="508A8357" w14:textId="77777777" w:rsidTr="008860DD">
        <w:trPr>
          <w:trHeight w:val="91"/>
        </w:trPr>
        <w:tc>
          <w:tcPr>
            <w:tcW w:w="654" w:type="dxa"/>
            <w:vAlign w:val="center"/>
          </w:tcPr>
          <w:p w14:paraId="50EC2418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E317A59" w14:textId="77777777" w:rsidR="008860DD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B2F62B4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A7052B">
              <w:rPr>
                <w:rFonts w:ascii="Arial Narrow" w:hAnsi="Arial Narrow"/>
                <w:i/>
                <w:noProof/>
              </w:rPr>
              <w:t>Konceptualizacija povijesnoumjetničkog znanja</w:t>
            </w:r>
          </w:p>
        </w:tc>
        <w:tc>
          <w:tcPr>
            <w:tcW w:w="1279" w:type="dxa"/>
            <w:vAlign w:val="center"/>
          </w:tcPr>
          <w:p w14:paraId="03EA59FA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60DD" w:rsidRPr="00A7052B" w14:paraId="28902534" w14:textId="77777777" w:rsidTr="008860DD">
        <w:trPr>
          <w:trHeight w:val="91"/>
        </w:trPr>
        <w:tc>
          <w:tcPr>
            <w:tcW w:w="654" w:type="dxa"/>
            <w:vAlign w:val="center"/>
          </w:tcPr>
          <w:p w14:paraId="6CDD914C" w14:textId="77777777" w:rsidR="008860DD" w:rsidRPr="00A7052B" w:rsidRDefault="008860DD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B1BF1A5" w14:textId="77777777" w:rsidR="008860DD" w:rsidRPr="00A7052B" w:rsidRDefault="008860DD" w:rsidP="00FA1EF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12031C" w14:textId="77777777" w:rsidR="008860DD" w:rsidRPr="00A7052B" w:rsidRDefault="008860DD" w:rsidP="008860DD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A7052B">
              <w:rPr>
                <w:rFonts w:ascii="Arial Narrow" w:hAnsi="Arial Narrow"/>
                <w:i/>
                <w:noProof/>
              </w:rPr>
              <w:t>Strukturiranje povijesnoumjetničkog znanja - tekstovi (podjela po žanrovima i vrstama; analiza odabranih tekstova)</w:t>
            </w:r>
          </w:p>
        </w:tc>
        <w:tc>
          <w:tcPr>
            <w:tcW w:w="1279" w:type="dxa"/>
            <w:vAlign w:val="center"/>
          </w:tcPr>
          <w:p w14:paraId="300E1D8B" w14:textId="77777777" w:rsidR="008860DD" w:rsidRPr="00A7052B" w:rsidRDefault="008860DD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CF00F36" w14:textId="77777777" w:rsidR="00944C43" w:rsidRPr="00A7052B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608463DB" w14:textId="77777777" w:rsidR="008860DD" w:rsidRPr="00A7052B" w:rsidRDefault="008860DD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51F7AF36" w14:textId="77777777" w:rsidR="008860DD" w:rsidRDefault="008860DD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26097E9D" w14:textId="77777777" w:rsidR="00E62284" w:rsidRPr="00A7052B" w:rsidRDefault="00E62284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554B1843" w14:textId="77777777" w:rsidR="008860DD" w:rsidRPr="00A7052B" w:rsidRDefault="008860DD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3CEEAA44" w14:textId="77777777" w:rsidR="008860DD" w:rsidRDefault="008860DD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2B06CA12" w14:textId="77777777" w:rsidR="00A7052B" w:rsidRPr="00A7052B" w:rsidRDefault="00A7052B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3E82E670" w14:textId="77777777" w:rsidR="008860DD" w:rsidRPr="00A7052B" w:rsidRDefault="008860DD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A7052B" w14:paraId="2AD67BA0" w14:textId="77777777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ECF1E9E" w14:textId="77777777" w:rsidR="00944C43" w:rsidRPr="00A7052B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  <w:b/>
              </w:rPr>
              <w:lastRenderedPageBreak/>
              <w:t>Seminari</w:t>
            </w:r>
          </w:p>
        </w:tc>
      </w:tr>
      <w:tr w:rsidR="00944C43" w:rsidRPr="00A7052B" w14:paraId="08F94CAB" w14:textId="77777777" w:rsidTr="008860D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01517601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2D28C5C7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14:paraId="10382CBA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14:paraId="56189AD9" w14:textId="77777777" w:rsidR="00944C43" w:rsidRPr="00A7052B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052B">
              <w:rPr>
                <w:rFonts w:ascii="Arial Narrow" w:hAnsi="Arial Narrow"/>
                <w:b/>
              </w:rPr>
              <w:t>Literatura</w:t>
            </w:r>
          </w:p>
        </w:tc>
      </w:tr>
      <w:tr w:rsidR="00FA1EFE" w:rsidRPr="00A7052B" w14:paraId="1FA28D10" w14:textId="77777777" w:rsidTr="008860DD">
        <w:trPr>
          <w:trHeight w:val="91"/>
        </w:trPr>
        <w:tc>
          <w:tcPr>
            <w:tcW w:w="654" w:type="dxa"/>
            <w:vAlign w:val="center"/>
          </w:tcPr>
          <w:p w14:paraId="5EFEDF09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2BF4ED5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3040372B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2A9134C7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096FA552" w14:textId="77777777" w:rsidTr="008860DD">
        <w:trPr>
          <w:trHeight w:val="91"/>
        </w:trPr>
        <w:tc>
          <w:tcPr>
            <w:tcW w:w="654" w:type="dxa"/>
            <w:vAlign w:val="center"/>
          </w:tcPr>
          <w:p w14:paraId="3A0A5F54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AF7DC0D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51C1C3F3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11872A54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40176D88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B25F53C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DCC5A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4FD54C18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44D525C9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0FE15418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DD1C841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B40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34586D6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6D527863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05CE6ABF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263E65F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98E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7A05DC6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2E3A1899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5C4319CF" w14:textId="77777777" w:rsidTr="008860D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AE1C799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2ADA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E7FA0BF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11469808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5A0D1C96" w14:textId="77777777" w:rsidTr="008860DD">
        <w:trPr>
          <w:trHeight w:val="91"/>
        </w:trPr>
        <w:tc>
          <w:tcPr>
            <w:tcW w:w="654" w:type="dxa"/>
            <w:vAlign w:val="center"/>
          </w:tcPr>
          <w:p w14:paraId="15420F2A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C867E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6CD04725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0D463933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3BC21778" w14:textId="77777777" w:rsidTr="008860DD">
        <w:trPr>
          <w:trHeight w:val="91"/>
        </w:trPr>
        <w:tc>
          <w:tcPr>
            <w:tcW w:w="654" w:type="dxa"/>
            <w:vAlign w:val="center"/>
          </w:tcPr>
          <w:p w14:paraId="440E9623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EA288EA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3C6B6ECC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00865045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7141D38B" w14:textId="77777777" w:rsidTr="008860DD">
        <w:trPr>
          <w:trHeight w:val="91"/>
        </w:trPr>
        <w:tc>
          <w:tcPr>
            <w:tcW w:w="654" w:type="dxa"/>
            <w:vAlign w:val="center"/>
          </w:tcPr>
          <w:p w14:paraId="200B3D79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A4218F5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04C44C38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79ACB251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16D9F359" w14:textId="77777777" w:rsidTr="008860DD">
        <w:trPr>
          <w:trHeight w:val="91"/>
        </w:trPr>
        <w:tc>
          <w:tcPr>
            <w:tcW w:w="654" w:type="dxa"/>
            <w:vAlign w:val="center"/>
          </w:tcPr>
          <w:p w14:paraId="055D8119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F2E4A76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5DEB7B6A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2DEA76BD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6481CB49" w14:textId="77777777" w:rsidTr="008860DD">
        <w:trPr>
          <w:trHeight w:val="91"/>
        </w:trPr>
        <w:tc>
          <w:tcPr>
            <w:tcW w:w="654" w:type="dxa"/>
            <w:vAlign w:val="center"/>
          </w:tcPr>
          <w:p w14:paraId="42596A22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B497B28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4D06A172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126C6C42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1A236A99" w14:textId="77777777" w:rsidTr="008860DD">
        <w:trPr>
          <w:trHeight w:val="91"/>
        </w:trPr>
        <w:tc>
          <w:tcPr>
            <w:tcW w:w="654" w:type="dxa"/>
            <w:vAlign w:val="center"/>
          </w:tcPr>
          <w:p w14:paraId="626088E8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C7120DF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vAlign w:val="center"/>
          </w:tcPr>
          <w:p w14:paraId="0B06D6C5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2069E92F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199D4736" w14:textId="77777777" w:rsidTr="008860DD">
        <w:trPr>
          <w:trHeight w:val="91"/>
        </w:trPr>
        <w:tc>
          <w:tcPr>
            <w:tcW w:w="654" w:type="dxa"/>
            <w:vAlign w:val="center"/>
          </w:tcPr>
          <w:p w14:paraId="5BBD1DBD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12AB14F" w14:textId="77777777" w:rsidR="00FA1EFE" w:rsidRPr="00FA1EFE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E0C86A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13756480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3D56A1EF" w14:textId="77777777" w:rsidTr="008860DD">
        <w:trPr>
          <w:trHeight w:val="91"/>
        </w:trPr>
        <w:tc>
          <w:tcPr>
            <w:tcW w:w="654" w:type="dxa"/>
            <w:vAlign w:val="center"/>
          </w:tcPr>
          <w:p w14:paraId="41C1ABBF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DE6A304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08A81E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6B2674AB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1EFE" w:rsidRPr="00A7052B" w14:paraId="12EF93A9" w14:textId="77777777" w:rsidTr="008860DD">
        <w:trPr>
          <w:trHeight w:val="91"/>
        </w:trPr>
        <w:tc>
          <w:tcPr>
            <w:tcW w:w="654" w:type="dxa"/>
            <w:vAlign w:val="center"/>
          </w:tcPr>
          <w:p w14:paraId="3F8F112F" w14:textId="77777777" w:rsidR="00FA1EFE" w:rsidRPr="00A7052B" w:rsidRDefault="00FA1EFE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52B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E931D3A" w14:textId="77777777" w:rsidR="00FA1EFE" w:rsidRPr="00A7052B" w:rsidRDefault="00FA1EFE" w:rsidP="00123B8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D51C27" w14:textId="77777777" w:rsidR="00FA1EFE" w:rsidRPr="00A7052B" w:rsidRDefault="00FA1EFE" w:rsidP="008860DD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A7052B">
              <w:rPr>
                <w:rFonts w:ascii="Arial Narrow" w:hAnsi="Arial Narrow" w:cs="Calibri"/>
                <w:noProof/>
                <w:position w:val="1"/>
              </w:rPr>
              <w:t>Diskusija sa studentima</w:t>
            </w:r>
          </w:p>
        </w:tc>
        <w:tc>
          <w:tcPr>
            <w:tcW w:w="1279" w:type="dxa"/>
            <w:vAlign w:val="center"/>
          </w:tcPr>
          <w:p w14:paraId="36A5D52B" w14:textId="77777777" w:rsidR="00FA1EFE" w:rsidRPr="00A7052B" w:rsidRDefault="00FA1EFE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C008759" w14:textId="77777777" w:rsidR="00944C43" w:rsidRPr="00A7052B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0B5529B7" w14:textId="77777777" w:rsidR="00F92202" w:rsidRPr="00A7052B" w:rsidRDefault="00F92202">
      <w:pPr>
        <w:rPr>
          <w:rFonts w:ascii="Arial Narrow" w:hAnsi="Arial Narrow"/>
        </w:rPr>
      </w:pPr>
    </w:p>
    <w:p w14:paraId="5D2E16CA" w14:textId="77777777" w:rsidR="00F92202" w:rsidRPr="00A7052B" w:rsidRDefault="00F92202">
      <w:pPr>
        <w:rPr>
          <w:rFonts w:ascii="Arial Narrow" w:hAnsi="Arial Narrow"/>
        </w:rPr>
      </w:pPr>
    </w:p>
    <w:p w14:paraId="4C2D1DE5" w14:textId="77777777" w:rsidR="00F92202" w:rsidRPr="00A7052B" w:rsidRDefault="00F92202">
      <w:pPr>
        <w:rPr>
          <w:rFonts w:ascii="Arial Narrow" w:hAnsi="Arial Narrow"/>
        </w:rPr>
      </w:pPr>
    </w:p>
    <w:p w14:paraId="79E0C436" w14:textId="77777777" w:rsidR="00F92202" w:rsidRPr="00A7052B" w:rsidRDefault="00F92202">
      <w:pPr>
        <w:rPr>
          <w:rFonts w:ascii="Arial Narrow" w:hAnsi="Arial Narrow"/>
        </w:rPr>
      </w:pPr>
    </w:p>
    <w:p w14:paraId="3ED44CA5" w14:textId="77777777" w:rsidR="00F92202" w:rsidRPr="00A7052B" w:rsidRDefault="00F92202">
      <w:pPr>
        <w:rPr>
          <w:rFonts w:ascii="Arial Narrow" w:hAnsi="Arial Narrow"/>
        </w:rPr>
      </w:pPr>
    </w:p>
    <w:sectPr w:rsidR="00F92202" w:rsidRPr="00A7052B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44C43"/>
    <w:rsid w:val="000E791E"/>
    <w:rsid w:val="00117489"/>
    <w:rsid w:val="00146353"/>
    <w:rsid w:val="0020776C"/>
    <w:rsid w:val="0021039D"/>
    <w:rsid w:val="00264629"/>
    <w:rsid w:val="0029299C"/>
    <w:rsid w:val="002F422E"/>
    <w:rsid w:val="00303FB8"/>
    <w:rsid w:val="005A1859"/>
    <w:rsid w:val="006D3BB3"/>
    <w:rsid w:val="008860DD"/>
    <w:rsid w:val="00924011"/>
    <w:rsid w:val="009346A2"/>
    <w:rsid w:val="00944C43"/>
    <w:rsid w:val="00A40035"/>
    <w:rsid w:val="00A7052B"/>
    <w:rsid w:val="00AC0945"/>
    <w:rsid w:val="00AC293D"/>
    <w:rsid w:val="00AC76E4"/>
    <w:rsid w:val="00DE1291"/>
    <w:rsid w:val="00DE34F0"/>
    <w:rsid w:val="00E62284"/>
    <w:rsid w:val="00E7771D"/>
    <w:rsid w:val="00EC1865"/>
    <w:rsid w:val="00F92202"/>
    <w:rsid w:val="00FA1EFE"/>
    <w:rsid w:val="00FC1127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8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1079</Words>
  <Characters>6974</Characters>
  <Application>Microsoft Macintosh Word</Application>
  <DocSecurity>0</DocSecurity>
  <Lines>332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Meri Zornija</cp:lastModifiedBy>
  <cp:revision>8</cp:revision>
  <cp:lastPrinted>2013-09-18T12:28:00Z</cp:lastPrinted>
  <dcterms:created xsi:type="dcterms:W3CDTF">2015-02-23T05:26:00Z</dcterms:created>
  <dcterms:modified xsi:type="dcterms:W3CDTF">2019-10-01T23:09:00Z</dcterms:modified>
</cp:coreProperties>
</file>