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2F994" w14:textId="77777777" w:rsidR="00240BDF" w:rsidRDefault="008D687A">
      <w:pPr>
        <w:pStyle w:val="Tijel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Obrazac 1.3.2. Izvedbeni plan nastave 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syllabus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customMarkFollows="1" w:id="2"/>
        <w:t>*</w:t>
      </w:r>
    </w:p>
    <w:tbl>
      <w:tblPr>
        <w:tblW w:w="90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8"/>
        <w:gridCol w:w="357"/>
        <w:gridCol w:w="358"/>
        <w:gridCol w:w="161"/>
        <w:gridCol w:w="170"/>
        <w:gridCol w:w="169"/>
        <w:gridCol w:w="161"/>
        <w:gridCol w:w="161"/>
        <w:gridCol w:w="158"/>
        <w:gridCol w:w="161"/>
        <w:gridCol w:w="173"/>
        <w:gridCol w:w="162"/>
        <w:gridCol w:w="247"/>
        <w:gridCol w:w="359"/>
        <w:gridCol w:w="161"/>
        <w:gridCol w:w="160"/>
        <w:gridCol w:w="244"/>
        <w:gridCol w:w="342"/>
        <w:gridCol w:w="188"/>
        <w:gridCol w:w="161"/>
        <w:gridCol w:w="449"/>
        <w:gridCol w:w="391"/>
        <w:gridCol w:w="160"/>
        <w:gridCol w:w="161"/>
        <w:gridCol w:w="162"/>
        <w:gridCol w:w="349"/>
        <w:gridCol w:w="185"/>
        <w:gridCol w:w="182"/>
        <w:gridCol w:w="172"/>
        <w:gridCol w:w="171"/>
        <w:gridCol w:w="993"/>
      </w:tblGrid>
      <w:tr w:rsidR="00240BDF" w14:paraId="62F99F27" w14:textId="77777777">
        <w:trPr>
          <w:trHeight w:val="46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D6F45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</w:rPr>
              <w:t xml:space="preserve">Naziv kolegija </w:t>
            </w:r>
          </w:p>
        </w:tc>
        <w:tc>
          <w:tcPr>
            <w:tcW w:w="52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26F00" w14:textId="77777777" w:rsidR="00240BDF" w:rsidRDefault="008D687A">
            <w:pPr>
              <w:spacing w:before="20" w:after="20"/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UMJETNOST DREVNIH CIVILIZACIJA </w:t>
            </w:r>
          </w:p>
          <w:p w14:paraId="1FF9310A" w14:textId="77777777" w:rsidR="00240BDF" w:rsidRDefault="008D687A">
            <w:pPr>
              <w:spacing w:before="20" w:after="20"/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ANTI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 GR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KE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FE89" w14:textId="77777777" w:rsidR="00240BDF" w:rsidRDefault="008D687A">
            <w:pPr>
              <w:pStyle w:val="Tijelo"/>
              <w:spacing w:before="20" w:after="2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akad. god.</w:t>
            </w:r>
          </w:p>
        </w:tc>
        <w:tc>
          <w:tcPr>
            <w:tcW w:w="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3A690" w14:textId="77777777" w:rsidR="00240BDF" w:rsidRDefault="008D687A">
            <w:pPr>
              <w:pStyle w:val="Tijelo"/>
              <w:spacing w:before="20" w:after="2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2019./2020.</w:t>
            </w:r>
          </w:p>
        </w:tc>
      </w:tr>
      <w:tr w:rsidR="00240BDF" w14:paraId="3BA6A451" w14:textId="77777777">
        <w:trPr>
          <w:trHeight w:val="44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B87E4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Naziv studija</w:t>
            </w:r>
          </w:p>
        </w:tc>
        <w:tc>
          <w:tcPr>
            <w:tcW w:w="52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8FECF" w14:textId="77777777" w:rsidR="00240BDF" w:rsidRDefault="008D687A">
            <w:pPr>
              <w:pStyle w:val="FootnoteText"/>
            </w:pPr>
            <w:r>
              <w:rPr>
                <w:rFonts w:ascii="Times New Roman" w:hAnsi="Times New Roman"/>
              </w:rPr>
              <w:t>Preddiplomski dvopredmetni sveu</w:t>
            </w:r>
            <w:r>
              <w:rPr>
                <w:rFonts w:ascii="Times New Roman" w:hAnsi="Times New Roman"/>
              </w:rPr>
              <w:t>č</w:t>
            </w:r>
            <w:r>
              <w:rPr>
                <w:rFonts w:ascii="Times New Roman" w:hAnsi="Times New Roman"/>
              </w:rPr>
              <w:t>ili</w:t>
            </w:r>
            <w:r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>ni studij povijesti umjetnosti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421E4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ECTS</w:t>
            </w:r>
          </w:p>
        </w:tc>
        <w:tc>
          <w:tcPr>
            <w:tcW w:w="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507BD" w14:textId="77777777" w:rsidR="00240BDF" w:rsidRDefault="008D687A">
            <w:pPr>
              <w:spacing w:before="20" w:after="20"/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240BDF" w14:paraId="31FA9D32" w14:textId="77777777">
        <w:trPr>
          <w:trHeight w:val="22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9C49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Sastavnica</w:t>
            </w:r>
          </w:p>
        </w:tc>
        <w:tc>
          <w:tcPr>
            <w:tcW w:w="742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A3C5D" w14:textId="77777777" w:rsidR="00240BDF" w:rsidRDefault="008D687A">
            <w:pPr>
              <w:spacing w:before="20" w:after="20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Odjel za povijest umjetnosti</w:t>
            </w:r>
          </w:p>
        </w:tc>
      </w:tr>
      <w:tr w:rsidR="00240BDF" w14:paraId="481C00F3" w14:textId="77777777">
        <w:trPr>
          <w:trHeight w:val="204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D56BC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Razina studija</w:t>
            </w:r>
          </w:p>
        </w:tc>
        <w:tc>
          <w:tcPr>
            <w:tcW w:w="1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566C0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C8B6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7DCB6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0FDA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poslijediplomski</w:t>
            </w:r>
          </w:p>
        </w:tc>
      </w:tr>
      <w:tr w:rsidR="00240BDF" w14:paraId="42FADE0A" w14:textId="77777777">
        <w:trPr>
          <w:trHeight w:val="425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D53B3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Vrsta studija</w:t>
            </w:r>
          </w:p>
        </w:tc>
        <w:tc>
          <w:tcPr>
            <w:tcW w:w="1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E9AC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jednopredmetni</w:t>
            </w:r>
          </w:p>
          <w:p w14:paraId="58F137D6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dvopredmetni</w:t>
            </w:r>
          </w:p>
        </w:tc>
        <w:tc>
          <w:tcPr>
            <w:tcW w:w="1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7EA1B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sveu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ili</w:t>
            </w:r>
            <w:r>
              <w:rPr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1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CCDBA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stru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ni</w:t>
            </w:r>
          </w:p>
        </w:tc>
        <w:tc>
          <w:tcPr>
            <w:tcW w:w="2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D09B9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specijalisti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ki</w:t>
            </w:r>
          </w:p>
        </w:tc>
      </w:tr>
      <w:tr w:rsidR="00240BDF" w14:paraId="102DCD62" w14:textId="77777777">
        <w:trPr>
          <w:trHeight w:val="204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50BB0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Godina studija</w:t>
            </w: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E218E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1.</w:t>
            </w:r>
          </w:p>
        </w:tc>
        <w:tc>
          <w:tcPr>
            <w:tcW w:w="1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9E40E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2.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ED203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3.</w:t>
            </w: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BBC19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4.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BBA10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5.</w:t>
            </w:r>
          </w:p>
        </w:tc>
      </w:tr>
      <w:tr w:rsidR="00240BDF" w14:paraId="0A7442F0" w14:textId="77777777">
        <w:trPr>
          <w:trHeight w:val="204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CECB6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1E039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zimski</w:t>
            </w:r>
          </w:p>
          <w:p w14:paraId="5783F04E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6B514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ゴシック" w:hAnsi="ＭＳ ゴシック"/>
                <w:sz w:val="18"/>
                <w:szCs w:val="18"/>
              </w:rPr>
              <w:t>☒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I.</w:t>
            </w:r>
          </w:p>
        </w:tc>
        <w:tc>
          <w:tcPr>
            <w:tcW w:w="1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DAAD0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II.</w:t>
            </w:r>
          </w:p>
        </w:tc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ED2CB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III.</w:t>
            </w:r>
          </w:p>
        </w:tc>
        <w:tc>
          <w:tcPr>
            <w:tcW w:w="1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9786F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IV.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E0720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V.</w:t>
            </w:r>
          </w:p>
        </w:tc>
      </w:tr>
      <w:tr w:rsidR="00240BDF" w14:paraId="38D8E9E6" w14:textId="77777777">
        <w:trPr>
          <w:trHeight w:val="204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38A6FD" w14:textId="77777777" w:rsidR="00240BDF" w:rsidRDefault="00240BDF"/>
        </w:tc>
        <w:tc>
          <w:tcPr>
            <w:tcW w:w="8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FB6B" w14:textId="77777777" w:rsidR="00240BDF" w:rsidRDefault="00240BDF"/>
        </w:tc>
        <w:tc>
          <w:tcPr>
            <w:tcW w:w="1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C2AF7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VI.</w:t>
            </w:r>
          </w:p>
        </w:tc>
        <w:tc>
          <w:tcPr>
            <w:tcW w:w="1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8F934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VII.</w:t>
            </w:r>
          </w:p>
        </w:tc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D37ED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758A2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IX.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04161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X.</w:t>
            </w:r>
          </w:p>
        </w:tc>
      </w:tr>
      <w:tr w:rsidR="00240BDF" w14:paraId="7544412D" w14:textId="77777777">
        <w:trPr>
          <w:trHeight w:val="404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1F737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Status kolegija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5F0F1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9200C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F45AD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0C51B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Nastavni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ke kompetencije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66CAF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lang w:val="pt-PT"/>
              </w:rPr>
              <w:t xml:space="preserve"> DA </w:t>
            </w:r>
            <w:r>
              <w:rPr>
                <w:rFonts w:ascii="ＭＳ ゴシック" w:hAnsi="ＭＳ ゴシック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NE</w:t>
            </w:r>
          </w:p>
        </w:tc>
      </w:tr>
      <w:tr w:rsidR="00240BDF" w14:paraId="72A21260" w14:textId="77777777">
        <w:trPr>
          <w:trHeight w:val="204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53FC0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Optere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ć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enje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B91E0" w14:textId="77777777" w:rsidR="00240BDF" w:rsidRDefault="008D687A">
            <w:pPr>
              <w:spacing w:before="20" w:after="20"/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1224" w14:textId="77777777" w:rsidR="00240BDF" w:rsidRDefault="008D687A">
            <w:pPr>
              <w:pStyle w:val="Tijelo"/>
              <w:spacing w:before="20" w:after="2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F220" w14:textId="77777777" w:rsidR="00240BDF" w:rsidRDefault="008D687A">
            <w:pPr>
              <w:spacing w:before="20" w:after="20"/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A9FD" w14:textId="77777777" w:rsidR="00240BDF" w:rsidRDefault="008D687A">
            <w:pPr>
              <w:pStyle w:val="Tijelo"/>
              <w:spacing w:before="20" w:after="2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2C33" w14:textId="77777777" w:rsidR="00240BDF" w:rsidRDefault="00240BDF"/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35978" w14:textId="77777777" w:rsidR="00240BDF" w:rsidRDefault="008D687A">
            <w:pPr>
              <w:pStyle w:val="Tijelo"/>
              <w:spacing w:before="20" w:after="2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8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C5299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Mre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ne stranice kolegija u sustavu za e-u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enje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97C4A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lang w:val="pt-PT"/>
              </w:rPr>
              <w:t xml:space="preserve"> DA </w:t>
            </w:r>
            <w:r>
              <w:rPr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NE</w:t>
            </w:r>
          </w:p>
        </w:tc>
      </w:tr>
      <w:tr w:rsidR="00240BDF" w14:paraId="2C25CA52" w14:textId="77777777">
        <w:trPr>
          <w:trHeight w:val="40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7D181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Mjesto i vrijeme izvo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đ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enja nastave</w:t>
            </w:r>
          </w:p>
        </w:tc>
        <w:tc>
          <w:tcPr>
            <w:tcW w:w="24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D199B" w14:textId="77777777" w:rsidR="00240BDF" w:rsidRDefault="008D687A">
            <w:pPr>
              <w:spacing w:before="20" w:after="20"/>
              <w:jc w:val="center"/>
            </w:pPr>
            <w:r>
              <w:rPr>
                <w:rFonts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dv. 113, srijeda, 16-18 sati (P)</w:t>
            </w:r>
          </w:p>
          <w:p w14:paraId="526C1DAF" w14:textId="77777777" w:rsidR="00240BDF" w:rsidRDefault="008D687A">
            <w:pPr>
              <w:spacing w:before="20" w:after="20"/>
              <w:jc w:val="center"/>
            </w:pPr>
            <w:r>
              <w:rPr>
                <w:rFonts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dv. 113, srijeda, 18-20 sati (S)</w:t>
            </w:r>
          </w:p>
        </w:tc>
        <w:tc>
          <w:tcPr>
            <w:tcW w:w="38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B9C44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right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Jezik/jezici na kojima se izvodi kolegij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6A070" w14:textId="77777777" w:rsidR="00240BDF" w:rsidRDefault="008D687A">
            <w:pPr>
              <w:tabs>
                <w:tab w:val="left" w:pos="1218"/>
              </w:tabs>
              <w:spacing w:before="20" w:after="20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hrvatski</w:t>
            </w:r>
          </w:p>
        </w:tc>
      </w:tr>
      <w:tr w:rsidR="00240BDF" w14:paraId="661D157E" w14:textId="77777777">
        <w:trPr>
          <w:trHeight w:val="20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F7957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etak nastave</w:t>
            </w:r>
          </w:p>
        </w:tc>
        <w:tc>
          <w:tcPr>
            <w:tcW w:w="24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ED85E" w14:textId="77777777" w:rsidR="00240BDF" w:rsidRDefault="008D687A">
            <w:pPr>
              <w:pStyle w:val="Tijelo"/>
              <w:spacing w:before="20" w:after="2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2. 10. 2019.</w:t>
            </w:r>
          </w:p>
        </w:tc>
        <w:tc>
          <w:tcPr>
            <w:tcW w:w="38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F7F38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right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Zavr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etak nastave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03E91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/>
                <w:sz w:val="18"/>
                <w:szCs w:val="18"/>
              </w:rPr>
              <w:t>22. 1. 2020.</w:t>
            </w:r>
          </w:p>
        </w:tc>
      </w:tr>
      <w:tr w:rsidR="00240BDF" w14:paraId="3F48E298" w14:textId="77777777">
        <w:trPr>
          <w:trHeight w:val="40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E744B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Preduvjeti za upis kolegija</w:t>
            </w:r>
          </w:p>
        </w:tc>
        <w:tc>
          <w:tcPr>
            <w:tcW w:w="742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1BD6" w14:textId="77777777" w:rsidR="00240BDF" w:rsidRDefault="008D687A">
            <w:pPr>
              <w:tabs>
                <w:tab w:val="left" w:pos="1218"/>
              </w:tabs>
              <w:spacing w:before="20" w:after="20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upisan studij povijesti </w:t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umjetnosti</w:t>
            </w:r>
          </w:p>
        </w:tc>
      </w:tr>
      <w:tr w:rsidR="00240BDF" w14:paraId="5CBDCE58" w14:textId="77777777">
        <w:trPr>
          <w:trHeight w:val="202"/>
        </w:trPr>
        <w:tc>
          <w:tcPr>
            <w:tcW w:w="907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B2D0" w14:textId="77777777" w:rsidR="00240BDF" w:rsidRDefault="00240BDF"/>
        </w:tc>
      </w:tr>
      <w:tr w:rsidR="00240BDF" w14:paraId="0EEC8482" w14:textId="77777777">
        <w:trPr>
          <w:trHeight w:val="20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FEAD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Nositelj kolegija</w:t>
            </w:r>
          </w:p>
        </w:tc>
        <w:tc>
          <w:tcPr>
            <w:tcW w:w="742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42496" w14:textId="77777777" w:rsidR="00240BDF" w:rsidRDefault="008D687A">
            <w:pPr>
              <w:tabs>
                <w:tab w:val="left" w:pos="1218"/>
              </w:tabs>
              <w:spacing w:before="20" w:after="20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doc. dr. sc. Meri Zornija</w:t>
            </w:r>
          </w:p>
        </w:tc>
      </w:tr>
      <w:tr w:rsidR="00240BDF" w14:paraId="267013E3" w14:textId="77777777">
        <w:trPr>
          <w:trHeight w:val="20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42600" w14:textId="77777777" w:rsidR="00240BDF" w:rsidRDefault="008D687A">
            <w:pPr>
              <w:pStyle w:val="Tijelo"/>
              <w:spacing w:before="20" w:after="20"/>
              <w:jc w:val="right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0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9F60" w14:textId="77777777" w:rsidR="00240BDF" w:rsidRDefault="008D687A">
            <w:pPr>
              <w:tabs>
                <w:tab w:val="left" w:pos="1218"/>
              </w:tabs>
              <w:spacing w:before="20" w:after="20"/>
            </w:pPr>
            <w:hyperlink r:id="rId8" w:history="1">
              <w:r>
                <w:rPr>
                  <w:rStyle w:val="Hyperlink0"/>
                  <w:rFonts w:cs="Arial Unicode MS"/>
                  <w:sz w:val="18"/>
                  <w:szCs w:val="1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mezornija@unizd.hr</w:t>
              </w:r>
            </w:hyperlink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E365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Konzultacije</w:t>
            </w:r>
          </w:p>
        </w:tc>
        <w:tc>
          <w:tcPr>
            <w:tcW w:w="2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85209" w14:textId="77777777" w:rsidR="00240BDF" w:rsidRDefault="008D687A">
            <w:pPr>
              <w:tabs>
                <w:tab w:val="left" w:pos="1218"/>
              </w:tabs>
              <w:spacing w:before="20" w:after="20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etvrtkom, 14-16 sati</w:t>
            </w:r>
          </w:p>
        </w:tc>
      </w:tr>
      <w:tr w:rsidR="00240BDF" w14:paraId="6CCE4AC9" w14:textId="77777777">
        <w:trPr>
          <w:trHeight w:val="20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7C588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Izvo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đ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č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kolegija</w:t>
            </w:r>
          </w:p>
        </w:tc>
        <w:tc>
          <w:tcPr>
            <w:tcW w:w="742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B2A0" w14:textId="77777777" w:rsidR="00240BDF" w:rsidRDefault="008D687A">
            <w:pPr>
              <w:tabs>
                <w:tab w:val="left" w:pos="1218"/>
              </w:tabs>
              <w:spacing w:before="20" w:after="20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doc. dr. sc. Meri Zornija (P); doc. dr. sc. Silvia Bekavac (S)</w:t>
            </w:r>
          </w:p>
        </w:tc>
      </w:tr>
      <w:tr w:rsidR="00240BDF" w14:paraId="6C61C5C6" w14:textId="77777777">
        <w:trPr>
          <w:trHeight w:val="20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7F6BB" w14:textId="77777777" w:rsidR="00240BDF" w:rsidRDefault="008D687A">
            <w:pPr>
              <w:pStyle w:val="Tijelo"/>
              <w:spacing w:before="20" w:after="20"/>
              <w:jc w:val="right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0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14B8F" w14:textId="77777777" w:rsidR="00240BDF" w:rsidRDefault="008D687A">
            <w:pPr>
              <w:tabs>
                <w:tab w:val="left" w:pos="1218"/>
              </w:tabs>
              <w:spacing w:before="20" w:after="20"/>
            </w:pPr>
            <w:hyperlink r:id="rId9" w:history="1">
              <w:r>
                <w:rPr>
                  <w:rStyle w:val="Hyperlink0"/>
                  <w:rFonts w:cs="Arial Unicode MS"/>
                  <w:sz w:val="18"/>
                  <w:szCs w:val="1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mezornija@unizd.hr</w:t>
              </w:r>
            </w:hyperlink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;  </w:t>
            </w:r>
            <w:hyperlink r:id="rId10" w:history="1">
              <w:r>
                <w:rPr>
                  <w:rStyle w:val="Hyperlink0"/>
                  <w:rFonts w:cs="Arial Unicode MS"/>
                  <w:sz w:val="18"/>
                  <w:szCs w:val="1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sbekavac@unizd.hr</w:t>
              </w:r>
            </w:hyperlink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C8ECE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Konzultacije</w:t>
            </w:r>
          </w:p>
        </w:tc>
        <w:tc>
          <w:tcPr>
            <w:tcW w:w="2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5738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etvrtkom, 12-14 sati</w:t>
            </w:r>
          </w:p>
        </w:tc>
      </w:tr>
      <w:tr w:rsidR="00240BDF" w14:paraId="0FD3A42C" w14:textId="77777777">
        <w:trPr>
          <w:trHeight w:val="202"/>
        </w:trPr>
        <w:tc>
          <w:tcPr>
            <w:tcW w:w="907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D333D" w14:textId="77777777" w:rsidR="00240BDF" w:rsidRDefault="00240BDF"/>
        </w:tc>
      </w:tr>
      <w:tr w:rsidR="00240BDF" w14:paraId="60E2D6B8" w14:textId="77777777">
        <w:trPr>
          <w:trHeight w:val="404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DECF2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Vrste izvo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đ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enja nastave</w:t>
            </w: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7EC42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F92D7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12D68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vje</w:t>
            </w:r>
            <w:r>
              <w:rPr>
                <w:rFonts w:ascii="Times New Roman" w:hAnsi="Times New Roman"/>
                <w:sz w:val="18"/>
                <w:szCs w:val="18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</w:rPr>
              <w:t>be</w:t>
            </w: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7A673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e-u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enje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98867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terenska nastava</w:t>
            </w:r>
          </w:p>
        </w:tc>
      </w:tr>
      <w:tr w:rsidR="00240BDF" w14:paraId="17304244" w14:textId="77777777">
        <w:trPr>
          <w:trHeight w:val="404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54420F" w14:textId="77777777" w:rsidR="00240BDF" w:rsidRDefault="00240BDF"/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724E6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F5150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multimedija i mre</w:t>
            </w:r>
            <w:r>
              <w:rPr>
                <w:rFonts w:ascii="Times New Roman" w:hAnsi="Times New Roman"/>
                <w:sz w:val="18"/>
                <w:szCs w:val="18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F4805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ADF7B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C283B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ostalo</w:t>
            </w:r>
          </w:p>
        </w:tc>
      </w:tr>
      <w:tr w:rsidR="00240BDF" w14:paraId="74264B47" w14:textId="77777777">
        <w:trPr>
          <w:trHeight w:val="2202"/>
        </w:trPr>
        <w:tc>
          <w:tcPr>
            <w:tcW w:w="3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F495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Ishodi 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enja kolegija</w:t>
            </w:r>
          </w:p>
        </w:tc>
        <w:tc>
          <w:tcPr>
            <w:tcW w:w="589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5D5B6" w14:textId="77777777" w:rsidR="00240BDF" w:rsidRDefault="008D687A">
            <w:pPr>
              <w:pStyle w:val="FootnoteText"/>
              <w:ind w:left="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Kriti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ko razumijevanje va</w:t>
            </w:r>
            <w:r>
              <w:rPr>
                <w:rFonts w:ascii="Times New Roman" w:hAnsi="Times New Roman"/>
                <w:sz w:val="18"/>
                <w:szCs w:val="18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</w:rPr>
              <w:t>nih fenomena  i prepoznavanje temeljnih djela likovnih umjetnosti i arhitekture;</w:t>
            </w:r>
          </w:p>
          <w:p w14:paraId="7F54A24C" w14:textId="77777777" w:rsidR="00240BDF" w:rsidRDefault="008D687A">
            <w:pPr>
              <w:pStyle w:val="FootnoteText"/>
              <w:ind w:left="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I</w:t>
            </w:r>
            <w:r>
              <w:rPr>
                <w:rFonts w:ascii="Times New Roman" w:hAnsi="Times New Roman"/>
                <w:sz w:val="18"/>
                <w:szCs w:val="18"/>
              </w:rPr>
              <w:t>dentificiranje temeljnih karakteristika stila razdoblja i njihovo komentiranje putem kori</w:t>
            </w:r>
            <w:r>
              <w:rPr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Fonts w:ascii="Times New Roman" w:hAnsi="Times New Roman"/>
                <w:sz w:val="18"/>
                <w:szCs w:val="18"/>
              </w:rPr>
              <w:t>tenja ilustrativnog materijala;</w:t>
            </w:r>
          </w:p>
          <w:p w14:paraId="6CE32F20" w14:textId="77777777" w:rsidR="00240BDF" w:rsidRDefault="008D687A">
            <w:pPr>
              <w:pStyle w:val="FootnoteText"/>
              <w:ind w:left="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Analiziranje i kriti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ko prosu</w:t>
            </w:r>
            <w:r>
              <w:rPr>
                <w:rFonts w:ascii="Times New Roman" w:hAnsi="Times New Roman"/>
                <w:sz w:val="18"/>
                <w:szCs w:val="18"/>
              </w:rPr>
              <w:t>đ</w:t>
            </w:r>
            <w:r>
              <w:rPr>
                <w:rFonts w:ascii="Times New Roman" w:hAnsi="Times New Roman"/>
                <w:sz w:val="18"/>
                <w:szCs w:val="18"/>
              </w:rPr>
              <w:t>ivanje likovnih djela i arhitekture razdoblja uz primjenu relevantnih znanja i vje</w:t>
            </w:r>
            <w:r>
              <w:rPr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Fonts w:ascii="Times New Roman" w:hAnsi="Times New Roman"/>
                <w:sz w:val="18"/>
                <w:szCs w:val="18"/>
              </w:rPr>
              <w:t>tina  paralelno stj</w:t>
            </w:r>
            <w:r>
              <w:rPr>
                <w:rFonts w:ascii="Times New Roman" w:hAnsi="Times New Roman"/>
                <w:sz w:val="18"/>
                <w:szCs w:val="18"/>
              </w:rPr>
              <w:t>ecanih na kolegijima prve godine studija;</w:t>
            </w:r>
          </w:p>
          <w:p w14:paraId="6293BFA8" w14:textId="77777777" w:rsidR="00240BDF" w:rsidRDefault="008D687A">
            <w:pPr>
              <w:pStyle w:val="FootnoteText"/>
              <w:ind w:left="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Klasificiranje gra</w:t>
            </w:r>
            <w:r>
              <w:rPr>
                <w:rFonts w:ascii="Times New Roman" w:hAnsi="Times New Roman"/>
                <w:sz w:val="18"/>
                <w:szCs w:val="18"/>
              </w:rPr>
              <w:t>đ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kolegija u jasne opisne kategorije definirane stilom i </w:t>
            </w:r>
          </w:p>
          <w:p w14:paraId="592C7290" w14:textId="77777777" w:rsidR="00240BDF" w:rsidRDefault="008D687A">
            <w:pPr>
              <w:pStyle w:val="FootnoteText"/>
              <w:ind w:left="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kronologijom;</w:t>
            </w:r>
          </w:p>
          <w:p w14:paraId="1933D2AF" w14:textId="77777777" w:rsidR="00240BDF" w:rsidRDefault="008D687A">
            <w:pPr>
              <w:pStyle w:val="FootnoteText"/>
              <w:ind w:left="28"/>
            </w:pPr>
            <w:r>
              <w:rPr>
                <w:rFonts w:ascii="Times New Roman" w:hAnsi="Times New Roman"/>
                <w:sz w:val="18"/>
                <w:szCs w:val="18"/>
              </w:rPr>
              <w:t>- Osposobljavanje za samostalnu pripremu i prezentiranje temu na pismeni i usmeni na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in prema unaprijed odre</w:t>
            </w:r>
            <w:r>
              <w:rPr>
                <w:rFonts w:ascii="Times New Roman" w:hAnsi="Times New Roman"/>
                <w:sz w:val="18"/>
                <w:szCs w:val="18"/>
              </w:rPr>
              <w:t>đ</w:t>
            </w:r>
            <w:r>
              <w:rPr>
                <w:rFonts w:ascii="Times New Roman" w:hAnsi="Times New Roman"/>
                <w:sz w:val="18"/>
                <w:szCs w:val="18"/>
              </w:rPr>
              <w:t>enoj metodol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ogiji.  </w:t>
            </w:r>
          </w:p>
        </w:tc>
      </w:tr>
      <w:tr w:rsidR="00240BDF" w14:paraId="6C220DAC" w14:textId="77777777">
        <w:trPr>
          <w:trHeight w:val="402"/>
        </w:trPr>
        <w:tc>
          <w:tcPr>
            <w:tcW w:w="3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2DC79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Ishodi 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enja na razini programa kojima kolegij doprinosi</w:t>
            </w:r>
          </w:p>
        </w:tc>
        <w:tc>
          <w:tcPr>
            <w:tcW w:w="589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10D8F" w14:textId="77777777" w:rsidR="00240BDF" w:rsidRDefault="008D687A">
            <w:pPr>
              <w:pStyle w:val="FootnoteText"/>
              <w:ind w:left="28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  <w:lang w:val="it-IT"/>
              </w:rPr>
              <w:t>Primjena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ste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enog znanja u svrhu razumijevanja op</w:t>
            </w:r>
            <w:r>
              <w:rPr>
                <w:rFonts w:ascii="Times New Roman" w:hAnsi="Times New Roman"/>
                <w:sz w:val="18"/>
                <w:szCs w:val="18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</w:rPr>
              <w:t>eg razvoja umjetnosti.</w:t>
            </w:r>
          </w:p>
        </w:tc>
      </w:tr>
      <w:tr w:rsidR="00240BDF" w14:paraId="772172D1" w14:textId="77777777">
        <w:trPr>
          <w:trHeight w:val="202"/>
        </w:trPr>
        <w:tc>
          <w:tcPr>
            <w:tcW w:w="907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80CF" w14:textId="77777777" w:rsidR="00240BDF" w:rsidRDefault="00240BDF"/>
        </w:tc>
      </w:tr>
      <w:tr w:rsidR="00240BDF" w14:paraId="36A66610" w14:textId="77777777">
        <w:trPr>
          <w:trHeight w:val="404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EB23D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ini pra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ć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enja studenata</w:t>
            </w: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8A0CE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poha</w:t>
            </w:r>
            <w:r>
              <w:rPr>
                <w:rFonts w:ascii="Times New Roman" w:hAnsi="Times New Roman"/>
                <w:sz w:val="18"/>
                <w:szCs w:val="18"/>
              </w:rPr>
              <w:t>đ</w:t>
            </w:r>
            <w:r>
              <w:rPr>
                <w:rFonts w:ascii="Times New Roman" w:hAnsi="Times New Roman"/>
                <w:sz w:val="18"/>
                <w:szCs w:val="18"/>
              </w:rPr>
              <w:t>anje nastave</w:t>
            </w:r>
          </w:p>
        </w:tc>
        <w:tc>
          <w:tcPr>
            <w:tcW w:w="1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DE616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0BF5E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doma</w:t>
            </w:r>
            <w:r>
              <w:rPr>
                <w:rFonts w:ascii="Times New Roman" w:hAnsi="Times New Roman"/>
                <w:sz w:val="18"/>
                <w:szCs w:val="18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</w:rPr>
              <w:t>e zada</w:t>
            </w:r>
            <w:r>
              <w:rPr>
                <w:rFonts w:ascii="Times New Roman" w:hAnsi="Times New Roman"/>
                <w:sz w:val="18"/>
                <w:szCs w:val="18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A7022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CB345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istra</w:t>
            </w:r>
            <w:r>
              <w:rPr>
                <w:rFonts w:ascii="Times New Roman" w:hAnsi="Times New Roman"/>
                <w:sz w:val="18"/>
                <w:szCs w:val="18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</w:rPr>
              <w:t>ivanje</w:t>
            </w:r>
          </w:p>
        </w:tc>
      </w:tr>
      <w:tr w:rsidR="00240BDF" w14:paraId="55A03439" w14:textId="77777777">
        <w:trPr>
          <w:trHeight w:val="384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A6415D" w14:textId="77777777" w:rsidR="00240BDF" w:rsidRDefault="00240BDF"/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6668D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prakti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ni rad</w:t>
            </w:r>
          </w:p>
        </w:tc>
        <w:tc>
          <w:tcPr>
            <w:tcW w:w="1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8F9EE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eksperimentalni rad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8D69C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DEC86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79FF4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seminar</w:t>
            </w:r>
          </w:p>
        </w:tc>
      </w:tr>
      <w:tr w:rsidR="00240BDF" w14:paraId="4E4D83D3" w14:textId="77777777">
        <w:trPr>
          <w:trHeight w:val="204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004DCA" w14:textId="77777777" w:rsidR="00240BDF" w:rsidRDefault="00240BDF"/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52B7A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1D324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DF49A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DA0C5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ostalo: </w:t>
            </w:r>
          </w:p>
        </w:tc>
      </w:tr>
      <w:tr w:rsidR="00240BDF" w14:paraId="23EDCD60" w14:textId="77777777">
        <w:trPr>
          <w:trHeight w:val="80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22D4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Uvjeti pristupanja ispitu</w:t>
            </w:r>
          </w:p>
        </w:tc>
        <w:tc>
          <w:tcPr>
            <w:tcW w:w="742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FC515" w14:textId="77777777" w:rsidR="00240BDF" w:rsidRDefault="008D687A">
            <w:pPr>
              <w:pStyle w:val="Footnote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Studenti su du</w:t>
            </w:r>
            <w:r>
              <w:rPr>
                <w:rFonts w:ascii="Times New Roman" w:hAnsi="Times New Roman"/>
                <w:sz w:val="18"/>
                <w:szCs w:val="18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</w:rPr>
              <w:t>ni odslu</w:t>
            </w:r>
            <w:r>
              <w:rPr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ati najmanje 70% predavanja, te sudjelovati u radu i </w:t>
            </w:r>
            <w:r>
              <w:rPr>
                <w:rFonts w:ascii="Times New Roman" w:hAnsi="Times New Roman"/>
                <w:sz w:val="18"/>
                <w:szCs w:val="18"/>
              </w:rPr>
              <w:t>diskusiji na najmanje 70% seminara (u slu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aju kolizije 40% predavanja i 40% seminara).</w:t>
            </w:r>
          </w:p>
          <w:p w14:paraId="0E887499" w14:textId="77777777" w:rsidR="00240BDF" w:rsidRDefault="008D687A">
            <w:pPr>
              <w:pStyle w:val="FootnoteText"/>
            </w:pPr>
            <w:r>
              <w:rPr>
                <w:rFonts w:ascii="Times New Roman" w:hAnsi="Times New Roman"/>
                <w:sz w:val="18"/>
                <w:szCs w:val="18"/>
              </w:rPr>
              <w:t>Studenti su du</w:t>
            </w:r>
            <w:r>
              <w:rPr>
                <w:rFonts w:ascii="Times New Roman" w:hAnsi="Times New Roman"/>
                <w:sz w:val="18"/>
                <w:szCs w:val="18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</w:rPr>
              <w:t>ni izraditi seminarski rad u pismenom obliku, te ga prezentirati  u vidu  usmenog izlaganja (najmanje 15 minuta trajanja).</w:t>
            </w:r>
          </w:p>
        </w:tc>
      </w:tr>
      <w:tr w:rsidR="00240BDF" w14:paraId="60BB6A81" w14:textId="77777777">
        <w:trPr>
          <w:trHeight w:val="204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B3C3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Ispitni rokovi</w:t>
            </w:r>
          </w:p>
        </w:tc>
        <w:tc>
          <w:tcPr>
            <w:tcW w:w="29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4284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99366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/>
                <w:sz w:val="18"/>
                <w:szCs w:val="18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89AE8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jesenski ispitni rok</w:t>
            </w:r>
          </w:p>
        </w:tc>
      </w:tr>
      <w:tr w:rsidR="00240BDF" w14:paraId="0461F2AD" w14:textId="77777777">
        <w:trPr>
          <w:trHeight w:val="40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1C7DC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Termini ispitnih rokova</w:t>
            </w:r>
          </w:p>
        </w:tc>
        <w:tc>
          <w:tcPr>
            <w:tcW w:w="29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CF31A" w14:textId="77777777" w:rsidR="00240BDF" w:rsidRDefault="00240BDF"/>
        </w:tc>
        <w:tc>
          <w:tcPr>
            <w:tcW w:w="2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6FE6C" w14:textId="77777777" w:rsidR="00240BDF" w:rsidRDefault="00240BDF"/>
        </w:tc>
        <w:tc>
          <w:tcPr>
            <w:tcW w:w="2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B1DC6" w14:textId="77777777" w:rsidR="00240BDF" w:rsidRDefault="00240BDF"/>
        </w:tc>
      </w:tr>
      <w:tr w:rsidR="00240BDF" w14:paraId="1B36F16A" w14:textId="77777777">
        <w:trPr>
          <w:trHeight w:val="60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77DBC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Opis kolegija</w:t>
            </w:r>
          </w:p>
        </w:tc>
        <w:tc>
          <w:tcPr>
            <w:tcW w:w="742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F798E" w14:textId="77777777" w:rsidR="00240BDF" w:rsidRDefault="008D687A">
            <w:pPr>
              <w:pStyle w:val="FootnoteText"/>
              <w:ind w:left="28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Stjecanje temeljnih 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injeni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nih i teorijskih spoznaja o umjetnosti drevnih civilizacija Bliskog Istoka (Mezopotamija, Perzija), dinastijskog Egipta,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egejskih civilizacija bron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anog doba (Kikladi, Kreta, Mikena) te o umjetnosti anti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ke Gr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ke.</w:t>
            </w:r>
          </w:p>
        </w:tc>
      </w:tr>
      <w:tr w:rsidR="00240BDF" w14:paraId="662B8AA5" w14:textId="77777777">
        <w:trPr>
          <w:trHeight w:val="956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2529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Sadr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aj kolegija (nastavne teme)</w:t>
            </w:r>
          </w:p>
        </w:tc>
        <w:tc>
          <w:tcPr>
            <w:tcW w:w="742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56F8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UMJETNOST DREVNIH CIVILIZACIJA BLISKOG ISTOKA</w:t>
            </w:r>
          </w:p>
          <w:p w14:paraId="24134BB7" w14:textId="77777777" w:rsidR="00240BDF" w:rsidRDefault="00240BDF">
            <w:pPr>
              <w:pStyle w:val="FootnoteText"/>
              <w:ind w:left="28"/>
              <w:rPr>
                <w:rFonts w:ascii="Arial Narrow" w:eastAsia="Arial Narrow" w:hAnsi="Arial Narrow" w:cs="Arial Narrow"/>
                <w:b/>
                <w:bCs/>
                <w:sz w:val="2"/>
                <w:szCs w:val="2"/>
              </w:rPr>
            </w:pPr>
          </w:p>
          <w:p w14:paraId="134C5EA9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01.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Uvodni dio</w:t>
            </w:r>
            <w:r>
              <w:rPr>
                <w:rFonts w:ascii="Times New Roman" w:hAnsi="Times New Roman"/>
                <w:sz w:val="18"/>
                <w:szCs w:val="18"/>
              </w:rPr>
              <w:t>: povijesne i dru</w:t>
            </w:r>
            <w:r>
              <w:rPr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Fonts w:ascii="Times New Roman" w:hAnsi="Times New Roman"/>
                <w:sz w:val="18"/>
                <w:szCs w:val="18"/>
              </w:rPr>
              <w:t>tvene okolnosti razvoja umjetni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kog izra</w:t>
            </w:r>
            <w:r>
              <w:rPr>
                <w:rFonts w:ascii="Times New Roman" w:hAnsi="Times New Roman"/>
                <w:sz w:val="18"/>
                <w:szCs w:val="18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avanja kod 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ovjeka; nastanak prvih prapovijesnih umjetni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kih djela  </w:t>
            </w:r>
          </w:p>
          <w:p w14:paraId="73D82F31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Mezopotamija - Sumersko-akadska dr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ava: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arhitektura - zigurati; pregled umjetni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kih rukotvorina: figuralna plastika, skulptura, zlatarstvo u nalazi</w:t>
            </w:r>
            <w:r>
              <w:rPr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Fonts w:ascii="Times New Roman" w:hAnsi="Times New Roman"/>
                <w:sz w:val="18"/>
                <w:szCs w:val="18"/>
              </w:rPr>
              <w:t>tima (Uruk, Ur, Laga</w:t>
            </w:r>
            <w:r>
              <w:rPr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14:paraId="479754AD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02.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Mezop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otamija II. Asirsko carstvo: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arhitektura, kiparstvo, reljefna dekoracija; </w:t>
            </w:r>
          </w:p>
          <w:p w14:paraId="13983DA7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Babilonsko carstvo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 doba Hamurabija i Nabukodonosora; </w:t>
            </w:r>
          </w:p>
          <w:p w14:paraId="5281EA1C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Perzijsko (Ahemenidsko) carstvo</w:t>
            </w:r>
            <w:r>
              <w:rPr>
                <w:rFonts w:ascii="Times New Roman" w:hAnsi="Times New Roman"/>
                <w:sz w:val="18"/>
                <w:szCs w:val="18"/>
              </w:rPr>
              <w:t>: arhitektura, kiparstvo, reljefi</w:t>
            </w:r>
          </w:p>
          <w:p w14:paraId="5CFF2816" w14:textId="77777777" w:rsidR="00240BDF" w:rsidRDefault="00240BDF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B1ADC2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UMJETNOST DINASTIJSKOG EGIPTA</w:t>
            </w:r>
          </w:p>
          <w:p w14:paraId="1263B62F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 Uvod u egipat</w:t>
            </w:r>
            <w:r>
              <w:rPr>
                <w:rFonts w:ascii="Times New Roman" w:hAnsi="Times New Roman"/>
                <w:sz w:val="18"/>
                <w:szCs w:val="18"/>
              </w:rPr>
              <w:t>sku umjetnost: zemljopisni polo</w:t>
            </w:r>
            <w:r>
              <w:rPr>
                <w:rFonts w:ascii="Times New Roman" w:hAnsi="Times New Roman"/>
                <w:sz w:val="18"/>
                <w:szCs w:val="18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</w:rPr>
              <w:t>aj, istra</w:t>
            </w:r>
            <w:r>
              <w:rPr>
                <w:rFonts w:ascii="Times New Roman" w:hAnsi="Times New Roman"/>
                <w:sz w:val="18"/>
                <w:szCs w:val="18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ivanja, kronologija. </w:t>
            </w:r>
          </w:p>
          <w:p w14:paraId="1650E039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Umjetnost i arhitektura u doba Ujedinjenja, Stare i Srednje dr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ave</w:t>
            </w:r>
          </w:p>
          <w:p w14:paraId="37B6B88F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04.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Umjetnost i arhitektura u doba Nove dr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ave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- 18. dinastija</w:t>
            </w:r>
          </w:p>
          <w:p w14:paraId="77D31538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 Umjetnost i arhitektura u doba Nove dr</w:t>
            </w:r>
            <w:r>
              <w:rPr>
                <w:rFonts w:ascii="Times New Roman" w:hAnsi="Times New Roman"/>
                <w:sz w:val="18"/>
                <w:szCs w:val="18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ave - 19. i </w:t>
            </w:r>
            <w:r>
              <w:rPr>
                <w:rFonts w:ascii="Times New Roman" w:hAnsi="Times New Roman"/>
                <w:sz w:val="18"/>
                <w:szCs w:val="18"/>
              </w:rPr>
              <w:t>20. dinastija; izabrani primjeri kasne egipatske umjetnosti</w:t>
            </w:r>
          </w:p>
          <w:p w14:paraId="77E20C49" w14:textId="77777777" w:rsidR="00240BDF" w:rsidRDefault="00240BDF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FE51F8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UMJETNOST EGEJSKIH CIVILIZACIJA BRON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ANOG DOBA</w:t>
            </w:r>
          </w:p>
          <w:p w14:paraId="789B5DE6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 Prirodni i zemljopisni polo</w:t>
            </w:r>
            <w:r>
              <w:rPr>
                <w:rFonts w:ascii="Times New Roman" w:hAnsi="Times New Roman"/>
                <w:sz w:val="18"/>
                <w:szCs w:val="18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</w:rPr>
              <w:t>aj Gr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ke i </w:t>
            </w:r>
            <w:r>
              <w:rPr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Fonts w:ascii="Times New Roman" w:hAnsi="Times New Roman"/>
                <w:sz w:val="18"/>
                <w:szCs w:val="18"/>
              </w:rPr>
              <w:t>ireg prostora Egeje; povijest istra</w:t>
            </w:r>
            <w:r>
              <w:rPr>
                <w:rFonts w:ascii="Times New Roman" w:hAnsi="Times New Roman"/>
                <w:sz w:val="18"/>
                <w:szCs w:val="18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</w:rPr>
              <w:t>ivanja i pregled otkri</w:t>
            </w:r>
            <w:r>
              <w:rPr>
                <w:rFonts w:ascii="Times New Roman" w:hAnsi="Times New Roman"/>
                <w:sz w:val="18"/>
                <w:szCs w:val="18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</w:rPr>
              <w:t>a najva</w:t>
            </w:r>
            <w:r>
              <w:rPr>
                <w:rFonts w:ascii="Times New Roman" w:hAnsi="Times New Roman"/>
                <w:sz w:val="18"/>
                <w:szCs w:val="18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nijih lokaliteta.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Egejska kronologija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podjela na kikladsko, kretsko i mikensko razdoblje.</w:t>
            </w:r>
          </w:p>
          <w:p w14:paraId="7B6E3357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Kikladska kultura</w:t>
            </w:r>
            <w:r>
              <w:rPr>
                <w:rFonts w:ascii="Times New Roman" w:hAnsi="Times New Roman"/>
                <w:sz w:val="18"/>
                <w:szCs w:val="18"/>
              </w:rPr>
              <w:t>: sitna figuralna plastika (kikladski idoli), zidno slikarstvo otoka There</w:t>
            </w:r>
          </w:p>
          <w:p w14:paraId="4DB49B4C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Kretska (minojska) kultura</w:t>
            </w:r>
            <w:r>
              <w:rPr>
                <w:rFonts w:ascii="Times New Roman" w:hAnsi="Times New Roman"/>
                <w:sz w:val="18"/>
                <w:szCs w:val="18"/>
              </w:rPr>
              <w:t>: arhitektura gradova-pala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a 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Knossos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Phaistos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Haghia Triada</w:t>
            </w:r>
            <w:r>
              <w:rPr>
                <w:rFonts w:ascii="Times New Roman" w:hAnsi="Times New Roman"/>
                <w:sz w:val="18"/>
                <w:szCs w:val="18"/>
              </w:rPr>
              <w:t>) i</w:t>
            </w:r>
          </w:p>
          <w:p w14:paraId="24B694D8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umjetnost (kerami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ki stilovi, zidno slikarstvo)</w:t>
            </w:r>
          </w:p>
          <w:p w14:paraId="0B78DAF8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07.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da-DK"/>
              </w:rPr>
              <w:t>Mikenska (heladska) kultura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arhitektura - </w:t>
            </w:r>
            <w:r>
              <w:rPr>
                <w:rFonts w:ascii="Times New Roman" w:hAnsi="Times New Roman"/>
                <w:sz w:val="18"/>
                <w:szCs w:val="18"/>
              </w:rPr>
              <w:t>mikenske kraljevske citadele, tipovi  grobnica: kraljevski grobni krugovi, tolosi;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slikarstvo na vazama, zidno slikarstvo, zlatarski proizvodi (Mikena, Tirint i </w:t>
            </w:r>
            <w:r>
              <w:rPr>
                <w:rFonts w:ascii="Times New Roman" w:hAnsi="Times New Roman"/>
                <w:sz w:val="18"/>
                <w:szCs w:val="18"/>
              </w:rPr>
              <w:t>dr.)</w:t>
            </w:r>
          </w:p>
          <w:p w14:paraId="36750DEC" w14:textId="77777777" w:rsidR="00240BDF" w:rsidRDefault="00240BDF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A3E88E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UMJETNOST ANTI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KE GR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KE</w:t>
            </w:r>
          </w:p>
          <w:p w14:paraId="021D76EB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08.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Geometrijski i orijentaliziraju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i stil</w:t>
            </w:r>
            <w:r>
              <w:rPr>
                <w:rFonts w:ascii="Times New Roman" w:hAnsi="Times New Roman"/>
                <w:sz w:val="18"/>
                <w:szCs w:val="18"/>
              </w:rPr>
              <w:t>: arhitektura, slikarstvo na vazama.</w:t>
            </w:r>
          </w:p>
          <w:p w14:paraId="3F67B4FE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Podjela i kronologija arhajskog razdoblja</w:t>
            </w:r>
          </w:p>
          <w:p w14:paraId="089740C8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Gr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ko arhajsko slikarstvo na vazama</w:t>
            </w:r>
          </w:p>
          <w:p w14:paraId="2D9CEE3B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09.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Gr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ka arhajska skulptura</w:t>
            </w:r>
            <w:r>
              <w:rPr>
                <w:rFonts w:ascii="Times New Roman" w:hAnsi="Times New Roman"/>
                <w:sz w:val="18"/>
                <w:szCs w:val="18"/>
              </w:rPr>
              <w:t>: kourosi i kore</w:t>
            </w:r>
          </w:p>
          <w:p w14:paraId="786C2266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Umjetnost Velike Gr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ke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Magna Graecia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770A281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Gr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ka arhajska arhitektura i arhitektonska skulptura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(Delfi)</w:t>
            </w:r>
          </w:p>
          <w:p w14:paraId="67172E04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 </w:t>
            </w:r>
            <w:r>
              <w:rPr>
                <w:rFonts w:ascii="Times New Roman" w:hAnsi="Times New Roman"/>
                <w:sz w:val="18"/>
                <w:szCs w:val="18"/>
              </w:rPr>
              <w:t>Podjela i kronologija klasi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nog doba</w:t>
            </w:r>
          </w:p>
          <w:p w14:paraId="7F4D32A8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Rano klasi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no doba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ili strogi stil: arhitektura (Olimpija) i kiparstvo (Miron)</w:t>
            </w:r>
          </w:p>
          <w:p w14:paraId="4F9D43C0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12.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Zrelo klasi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no doba</w:t>
            </w:r>
            <w:r>
              <w:rPr>
                <w:rFonts w:ascii="Times New Roman" w:hAnsi="Times New Roman"/>
                <w:sz w:val="18"/>
                <w:szCs w:val="18"/>
              </w:rPr>
              <w:t>: 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tenska akropola. Fidija i njegova </w:t>
            </w:r>
            <w:r>
              <w:rPr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Fonts w:ascii="Times New Roman" w:hAnsi="Times New Roman"/>
                <w:sz w:val="18"/>
                <w:szCs w:val="18"/>
              </w:rPr>
              <w:t>kola, Poliklet</w:t>
            </w:r>
          </w:p>
          <w:p w14:paraId="5F3D0C2B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Ostala va</w:t>
            </w:r>
            <w:r>
              <w:rPr>
                <w:rFonts w:ascii="Times New Roman" w:hAnsi="Times New Roman"/>
                <w:sz w:val="18"/>
                <w:szCs w:val="18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</w:rPr>
              <w:t>na gr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>ka sveti</w:t>
            </w:r>
            <w:r>
              <w:rPr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Fonts w:ascii="Times New Roman" w:hAnsi="Times New Roman"/>
                <w:sz w:val="18"/>
                <w:szCs w:val="18"/>
              </w:rPr>
              <w:t>ta (Eleuzina, Epidaur, Tegeja, Efez)</w:t>
            </w:r>
          </w:p>
          <w:p w14:paraId="4408AB48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Kasno klasi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no doba</w:t>
            </w:r>
            <w:r>
              <w:rPr>
                <w:rFonts w:ascii="Times New Roman" w:hAnsi="Times New Roman"/>
                <w:sz w:val="18"/>
                <w:szCs w:val="18"/>
              </w:rPr>
              <w:t>: arhitektura, kiparstvo (lijepi stil): Praksitel, Skopas, Lizip</w:t>
            </w:r>
          </w:p>
          <w:p w14:paraId="1B9FC4F2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 Gr</w:t>
            </w:r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ka i svijet helenizma: podjela i kronologija helenizma </w:t>
            </w:r>
          </w:p>
          <w:p w14:paraId="5B533EF2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Umjetnost u doba Aleksandra Makedonskog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(Pella, Vergina) </w:t>
            </w:r>
          </w:p>
          <w:p w14:paraId="23A2AB3F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Rani helenizam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(Mauzolej u Halikarnasu)</w:t>
            </w:r>
          </w:p>
          <w:p w14:paraId="329067DB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15.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Srednji helenizam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(Pergamski </w:t>
            </w:r>
            <w:r>
              <w:rPr>
                <w:rFonts w:ascii="Times New Roman" w:hAnsi="Times New Roman"/>
                <w:sz w:val="18"/>
                <w:szCs w:val="18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rtvenik, Pergamska i Rodska kiparska </w:t>
            </w:r>
            <w:r>
              <w:rPr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Fonts w:ascii="Times New Roman" w:hAnsi="Times New Roman"/>
                <w:sz w:val="18"/>
                <w:szCs w:val="18"/>
              </w:rPr>
              <w:t>kola)</w:t>
            </w:r>
          </w:p>
          <w:p w14:paraId="68ECF979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Kasni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helenizam</w:t>
            </w:r>
            <w:r>
              <w:rPr>
                <w:rFonts w:ascii="Times New Roman" w:hAnsi="Times New Roman"/>
                <w:sz w:val="18"/>
                <w:szCs w:val="18"/>
              </w:rPr>
              <w:t>: arhitektura i kiparstvo</w:t>
            </w:r>
          </w:p>
        </w:tc>
      </w:tr>
      <w:tr w:rsidR="00240BDF" w14:paraId="0D4AF82D" w14:textId="77777777">
        <w:trPr>
          <w:trHeight w:val="212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C72A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Obvezna literatura</w:t>
            </w:r>
          </w:p>
        </w:tc>
        <w:tc>
          <w:tcPr>
            <w:tcW w:w="742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6D53" w14:textId="77777777" w:rsidR="00240BDF" w:rsidRDefault="008D687A">
            <w:pPr>
              <w:pStyle w:val="Tijelo"/>
              <w:numPr>
                <w:ilvl w:val="0"/>
                <w:numId w:val="1"/>
              </w:num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Drevne civilizacije. Velike kulture svijeta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(prir. F. Bourbon), Zagreb, 2009. (podnaslovi: Knos, Atena, Mikena, Paestum; Saqqara i Giza, Karnak, Luxor, Zapadna Teba, Nubijski hramovi, Abu Simbel, Phila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e; Babilon, Ur, Perzepolis); </w:t>
            </w:r>
          </w:p>
          <w:p w14:paraId="3F21E58A" w14:textId="77777777" w:rsidR="00240BDF" w:rsidRDefault="008D687A">
            <w:pPr>
              <w:pStyle w:val="Tijelo"/>
              <w:numPr>
                <w:ilvl w:val="0"/>
                <w:numId w:val="1"/>
              </w:num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šč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ezle civilizacije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Zagreb, 2009. (podnaslovi: Saqqara, Ur, Knos, Mikena, Amarna, Niniva, Babilon, Perzepolis, Olimpija, Del); </w:t>
            </w:r>
          </w:p>
          <w:p w14:paraId="126FB78D" w14:textId="77777777" w:rsidR="00240BDF" w:rsidRDefault="008D687A">
            <w:pPr>
              <w:pStyle w:val="Tijelo"/>
              <w:numPr>
                <w:ilvl w:val="0"/>
                <w:numId w:val="1"/>
              </w:num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C. J. Du Ry,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Narodi drevnog Istoka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Rijeka, 1970.; </w:t>
            </w:r>
          </w:p>
          <w:p w14:paraId="62E15C96" w14:textId="77777777" w:rsidR="00240BDF" w:rsidRDefault="008D687A">
            <w:pPr>
              <w:pStyle w:val="Tijelo"/>
              <w:numPr>
                <w:ilvl w:val="0"/>
                <w:numId w:val="1"/>
              </w:num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W. Westendorf,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Drevni Egipat</w:t>
            </w:r>
            <w:r>
              <w:rPr>
                <w:rFonts w:ascii="Times New Roman" w:hAnsi="Times New Roman"/>
                <w:sz w:val="18"/>
                <w:szCs w:val="18"/>
              </w:rPr>
              <w:t>, Rijeka, 1969.;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AA9C174" w14:textId="77777777" w:rsidR="00240BDF" w:rsidRDefault="008D687A">
            <w:pPr>
              <w:pStyle w:val="Tijelo"/>
              <w:numPr>
                <w:ilvl w:val="0"/>
                <w:numId w:val="1"/>
              </w:num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F. Durando,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Drevna Gr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ka, zora zapada,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Zagreb, 1999.; </w:t>
            </w:r>
          </w:p>
          <w:p w14:paraId="5D6F6C9C" w14:textId="77777777" w:rsidR="00240BDF" w:rsidRDefault="008D687A">
            <w:pPr>
              <w:pStyle w:val="Tijelo"/>
              <w:numPr>
                <w:ilvl w:val="0"/>
                <w:numId w:val="1"/>
              </w:num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J. Boardman,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Greek Art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London, 2012.; </w:t>
            </w:r>
          </w:p>
          <w:p w14:paraId="16A6850D" w14:textId="77777777" w:rsidR="00240BDF" w:rsidRDefault="008D687A">
            <w:pPr>
              <w:pStyle w:val="Tijelo"/>
              <w:numPr>
                <w:ilvl w:val="0"/>
                <w:numId w:val="1"/>
              </w:numPr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R. R. R. Smith,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Hellenistic Sculpture</w:t>
            </w:r>
            <w:r>
              <w:rPr>
                <w:rFonts w:ascii="Times New Roman" w:hAnsi="Times New Roman"/>
                <w:sz w:val="18"/>
                <w:szCs w:val="18"/>
              </w:rPr>
              <w:t>, London, 1991.</w:t>
            </w:r>
          </w:p>
        </w:tc>
      </w:tr>
      <w:tr w:rsidR="00240BDF" w14:paraId="6119B2C2" w14:textId="77777777">
        <w:trPr>
          <w:trHeight w:val="172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F8F85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Dodatna literatura </w:t>
            </w:r>
          </w:p>
        </w:tc>
        <w:tc>
          <w:tcPr>
            <w:tcW w:w="742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AB7F" w14:textId="77777777" w:rsidR="00240BDF" w:rsidRDefault="008D687A">
            <w:pPr>
              <w:pStyle w:val="Tijelo"/>
              <w:numPr>
                <w:ilvl w:val="0"/>
                <w:numId w:val="2"/>
              </w:num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H. W. Janson/A. F. Janson,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Povijest umjetnosti</w:t>
            </w:r>
            <w:r>
              <w:rPr>
                <w:rFonts w:ascii="Times New Roman" w:hAnsi="Times New Roman"/>
                <w:sz w:val="18"/>
                <w:szCs w:val="18"/>
              </w:rPr>
              <w:t>, Vara</w:t>
            </w:r>
            <w:r>
              <w:rPr>
                <w:rFonts w:ascii="Times New Roman" w:hAnsi="Times New Roman"/>
                <w:sz w:val="18"/>
                <w:szCs w:val="18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din, 2005. (str. 44-109, 110-223); </w:t>
            </w:r>
          </w:p>
          <w:p w14:paraId="77ACFA3B" w14:textId="77777777" w:rsidR="00240BDF" w:rsidRDefault="008D687A">
            <w:pPr>
              <w:pStyle w:val="Tijelo"/>
              <w:numPr>
                <w:ilvl w:val="0"/>
                <w:numId w:val="2"/>
              </w:num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A. Siliotti,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Egipat: hramovi, ljudi i bogovi</w:t>
            </w:r>
            <w:r>
              <w:rPr>
                <w:rFonts w:ascii="Times New Roman" w:hAnsi="Times New Roman"/>
                <w:sz w:val="18"/>
                <w:szCs w:val="18"/>
              </w:rPr>
              <w:t>, Zagreb, 1999.;</w:t>
            </w:r>
          </w:p>
          <w:p w14:paraId="42089422" w14:textId="77777777" w:rsidR="00240BDF" w:rsidRDefault="008D687A">
            <w:pPr>
              <w:pStyle w:val="Tijelo"/>
              <w:numPr>
                <w:ilvl w:val="0"/>
                <w:numId w:val="2"/>
              </w:num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J. Boardman,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Greek Sculpture. The Archaic Period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London, 1995.; </w:t>
            </w:r>
          </w:p>
          <w:p w14:paraId="5E27A900" w14:textId="77777777" w:rsidR="00240BDF" w:rsidRDefault="008D687A">
            <w:pPr>
              <w:pStyle w:val="Tijelo"/>
              <w:numPr>
                <w:ilvl w:val="0"/>
                <w:numId w:val="2"/>
              </w:num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J. Boardman,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Greek Sculpture. The Classical Period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London, 1985.; </w:t>
            </w:r>
          </w:p>
          <w:p w14:paraId="328B5E3C" w14:textId="77777777" w:rsidR="00240BDF" w:rsidRDefault="008D687A">
            <w:pPr>
              <w:pStyle w:val="Tijelo"/>
              <w:numPr>
                <w:ilvl w:val="0"/>
                <w:numId w:val="2"/>
              </w:num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J. Boardman,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Greek Sculpt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ure. The Late Classical Period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London, 1995.; </w:t>
            </w:r>
          </w:p>
          <w:p w14:paraId="27AAF997" w14:textId="77777777" w:rsidR="00240BDF" w:rsidRDefault="008D687A">
            <w:pPr>
              <w:pStyle w:val="Tijelo"/>
              <w:numPr>
                <w:ilvl w:val="0"/>
                <w:numId w:val="2"/>
              </w:num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A. Juric,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Gr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ka - od mitova do anti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č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kih spomenika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Rijeka, 2001. (str. 11-66, 139-216, 219-282, 324-387, 424-453, 480-488); </w:t>
            </w:r>
          </w:p>
          <w:p w14:paraId="6535EEDE" w14:textId="77777777" w:rsidR="00240BDF" w:rsidRDefault="008D687A">
            <w:pPr>
              <w:pStyle w:val="Tijelo"/>
              <w:numPr>
                <w:ilvl w:val="0"/>
                <w:numId w:val="2"/>
              </w:num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L. Burn,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Hellenistic Art from Alexander the Great to Augustus</w:t>
            </w:r>
            <w:r>
              <w:rPr>
                <w:rFonts w:ascii="Times New Roman" w:hAnsi="Times New Roman"/>
                <w:sz w:val="18"/>
                <w:szCs w:val="18"/>
              </w:rPr>
              <w:t>, Los Angeles, 2004.</w:t>
            </w:r>
          </w:p>
        </w:tc>
      </w:tr>
      <w:tr w:rsidR="00240BDF" w14:paraId="6DA856DA" w14:textId="77777777">
        <w:trPr>
          <w:trHeight w:val="80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B9CD6" w14:textId="77777777" w:rsidR="00240BDF" w:rsidRDefault="008D687A">
            <w:pPr>
              <w:pStyle w:val="Tijelo"/>
              <w:spacing w:before="20" w:after="2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Mre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 izvori </w:t>
            </w:r>
          </w:p>
        </w:tc>
        <w:tc>
          <w:tcPr>
            <w:tcW w:w="742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C87D9" w14:textId="77777777" w:rsidR="00240BDF" w:rsidRDefault="008D687A">
            <w:pPr>
              <w:pStyle w:val="FootnoteTex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hyperlink r:id="rId11" w:history="1">
              <w:r>
                <w:rPr>
                  <w:rStyle w:val="Hyperlink1"/>
                  <w:rFonts w:ascii="Times New Roman" w:hAnsi="Times New Roman"/>
                  <w:sz w:val="18"/>
                  <w:szCs w:val="18"/>
                  <w:u w:val="single"/>
                </w:rPr>
                <w:t>http://arthistoryresources.net/ARTHLinks.html</w:t>
              </w:r>
            </w:hyperlink>
          </w:p>
          <w:p w14:paraId="2B245BF6" w14:textId="77777777" w:rsidR="00240BDF" w:rsidRDefault="008D687A">
            <w:pPr>
              <w:pStyle w:val="FootnoteTex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hyperlink r:id="rId12" w:history="1">
              <w:r>
                <w:rPr>
                  <w:rStyle w:val="Hyperlink1"/>
                  <w:rFonts w:ascii="Times New Roman" w:hAnsi="Times New Roman"/>
                  <w:sz w:val="18"/>
                  <w:szCs w:val="18"/>
                  <w:u w:val="single"/>
                </w:rPr>
                <w:t>https://www.ancient.eu/explore/8/</w:t>
              </w:r>
            </w:hyperlink>
          </w:p>
          <w:p w14:paraId="2CE8B4D3" w14:textId="77777777" w:rsidR="00240BDF" w:rsidRDefault="008D687A">
            <w:pPr>
              <w:pStyle w:val="FootnoteTex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hyperlink r:id="rId13" w:history="1">
              <w:r>
                <w:rPr>
                  <w:rStyle w:val="Hyperlink1"/>
                  <w:rFonts w:ascii="Times New Roman" w:hAnsi="Times New Roman"/>
                  <w:sz w:val="18"/>
                  <w:szCs w:val="18"/>
                  <w:u w:val="single"/>
                </w:rPr>
                <w:t>http://www.livius.org</w:t>
              </w:r>
            </w:hyperlink>
          </w:p>
          <w:p w14:paraId="766DCEED" w14:textId="77777777" w:rsidR="00240BDF" w:rsidRDefault="008D687A">
            <w:pPr>
              <w:pStyle w:val="FootnoteText"/>
              <w:jc w:val="both"/>
            </w:pPr>
            <w:hyperlink r:id="rId14" w:history="1">
              <w:r>
                <w:rPr>
                  <w:rStyle w:val="Hyperlink2"/>
                  <w:rFonts w:ascii="Times New Roman" w:hAnsi="Times New Roman"/>
                  <w:sz w:val="18"/>
                  <w:szCs w:val="18"/>
                </w:rPr>
                <w:t>https://www.ancient-greece.org/index.html</w:t>
              </w:r>
            </w:hyperlink>
          </w:p>
        </w:tc>
      </w:tr>
      <w:tr w:rsidR="00240BDF" w14:paraId="4BE9E98D" w14:textId="77777777">
        <w:trPr>
          <w:trHeight w:val="20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8D3AA" w14:textId="77777777" w:rsidR="00240BDF" w:rsidRDefault="008D687A">
            <w:pPr>
              <w:pStyle w:val="Tijelo"/>
              <w:spacing w:before="20" w:after="20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Provjera ishoda u</w:t>
            </w: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enja (prema uputama AZVO)</w:t>
            </w:r>
          </w:p>
        </w:tc>
        <w:tc>
          <w:tcPr>
            <w:tcW w:w="572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D254E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Samo zavr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ni ispit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079D" w14:textId="77777777" w:rsidR="00240BDF" w:rsidRDefault="00240BDF"/>
        </w:tc>
      </w:tr>
      <w:tr w:rsidR="00240BDF" w14:paraId="38CD4891" w14:textId="77777777">
        <w:trPr>
          <w:trHeight w:val="424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B1A60E" w14:textId="77777777" w:rsidR="00240BDF" w:rsidRDefault="00240BDF"/>
        </w:tc>
        <w:tc>
          <w:tcPr>
            <w:tcW w:w="2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C4D24" w14:textId="77777777" w:rsidR="00240BDF" w:rsidRDefault="008D687A">
            <w:pPr>
              <w:pStyle w:val="Tijelo"/>
              <w:widowControl w:val="0"/>
              <w:spacing w:before="20" w:after="20"/>
              <w:jc w:val="center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zavr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ni</w:t>
            </w:r>
          </w:p>
          <w:p w14:paraId="156820B1" w14:textId="77777777" w:rsidR="00240BDF" w:rsidRDefault="008D687A">
            <w:pPr>
              <w:pStyle w:val="Tijelo"/>
              <w:widowControl w:val="0"/>
              <w:spacing w:before="20" w:after="20"/>
              <w:jc w:val="center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pismeni ispit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AEC22" w14:textId="77777777" w:rsidR="00240BDF" w:rsidRDefault="008D687A">
            <w:pPr>
              <w:pStyle w:val="Tijelo"/>
              <w:widowControl w:val="0"/>
              <w:spacing w:before="20" w:after="20"/>
              <w:jc w:val="center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zavr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ni</w:t>
            </w:r>
          </w:p>
          <w:p w14:paraId="5C01B947" w14:textId="77777777" w:rsidR="00240BDF" w:rsidRDefault="008D687A">
            <w:pPr>
              <w:pStyle w:val="Tijelo"/>
              <w:widowControl w:val="0"/>
              <w:spacing w:before="20" w:after="20"/>
              <w:jc w:val="center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usmeni ispit</w:t>
            </w:r>
          </w:p>
        </w:tc>
        <w:tc>
          <w:tcPr>
            <w:tcW w:w="1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DCC55" w14:textId="77777777" w:rsidR="00240BDF" w:rsidRDefault="008D687A">
            <w:pPr>
              <w:pStyle w:val="Tijelo"/>
              <w:widowControl w:val="0"/>
              <w:spacing w:before="20" w:after="20"/>
              <w:jc w:val="center"/>
            </w:pPr>
            <w:r>
              <w:rPr>
                <w:rStyle w:val="Bez"/>
                <w:rFonts w:ascii="ＭＳ ゴシック" w:hAnsi="ＭＳ ゴシック"/>
                <w:sz w:val="18"/>
                <w:szCs w:val="18"/>
              </w:rPr>
              <w:t>x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pismeni i usmeni zavr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ni ispit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4B629" w14:textId="77777777" w:rsidR="00240BDF" w:rsidRDefault="008D687A">
            <w:pPr>
              <w:pStyle w:val="Tijelo"/>
              <w:widowControl w:val="0"/>
              <w:spacing w:before="20" w:after="20"/>
              <w:jc w:val="center"/>
            </w:pPr>
            <w:r>
              <w:rPr>
                <w:rStyle w:val="Bez"/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prakti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ni rad i zavr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ni ispit</w:t>
            </w:r>
          </w:p>
        </w:tc>
      </w:tr>
      <w:tr w:rsidR="00240BDF" w14:paraId="5E15ACB1" w14:textId="77777777">
        <w:trPr>
          <w:trHeight w:val="624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65BE50" w14:textId="77777777" w:rsidR="00240BDF" w:rsidRDefault="00240BDF"/>
        </w:tc>
        <w:tc>
          <w:tcPr>
            <w:tcW w:w="1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2E285" w14:textId="77777777" w:rsidR="00240BDF" w:rsidRDefault="008D687A">
            <w:pPr>
              <w:pStyle w:val="Tijelo"/>
              <w:widowControl w:val="0"/>
              <w:spacing w:before="20" w:after="20"/>
              <w:jc w:val="center"/>
            </w:pPr>
            <w:r>
              <w:rPr>
                <w:rStyle w:val="Bez"/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samo kolokvij/zada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ć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8F1E4" w14:textId="77777777" w:rsidR="00240BDF" w:rsidRDefault="008D687A">
            <w:pPr>
              <w:pStyle w:val="Tijelo"/>
              <w:widowControl w:val="0"/>
              <w:spacing w:before="20" w:after="20"/>
              <w:jc w:val="center"/>
            </w:pPr>
            <w:r>
              <w:rPr>
                <w:rStyle w:val="Bez"/>
                <w:rFonts w:ascii="ＭＳ ゴシック" w:hAnsi="ＭＳ ゴシック"/>
                <w:sz w:val="18"/>
                <w:szCs w:val="18"/>
              </w:rPr>
              <w:t>x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kolokvij / zada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ć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a i zavr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ni ispit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48F1F" w14:textId="77777777" w:rsidR="00240BDF" w:rsidRDefault="008D687A">
            <w:pPr>
              <w:pStyle w:val="Tijelo"/>
              <w:widowControl w:val="0"/>
              <w:spacing w:before="20" w:after="20"/>
              <w:jc w:val="center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seminarski</w:t>
            </w:r>
          </w:p>
          <w:p w14:paraId="49D36331" w14:textId="77777777" w:rsidR="00240BDF" w:rsidRDefault="008D687A">
            <w:pPr>
              <w:pStyle w:val="Tijelo"/>
              <w:widowControl w:val="0"/>
              <w:spacing w:before="20" w:after="20"/>
              <w:jc w:val="center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rad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11ADA" w14:textId="77777777" w:rsidR="00240BDF" w:rsidRDefault="008D687A">
            <w:pPr>
              <w:pStyle w:val="Tijelo"/>
              <w:widowControl w:val="0"/>
              <w:spacing w:before="20" w:after="20"/>
              <w:jc w:val="center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ＭＳ ゴシック" w:hAnsi="ＭＳ ゴシック"/>
                <w:sz w:val="18"/>
                <w:szCs w:val="18"/>
              </w:rPr>
              <w:t>x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seminarski</w:t>
            </w:r>
          </w:p>
          <w:p w14:paraId="52C0050C" w14:textId="77777777" w:rsidR="00240BDF" w:rsidRDefault="008D687A">
            <w:pPr>
              <w:pStyle w:val="Tijelo"/>
              <w:widowControl w:val="0"/>
              <w:spacing w:before="20" w:after="20"/>
              <w:jc w:val="center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rad i zavr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ni ispit</w:t>
            </w:r>
          </w:p>
        </w:tc>
        <w:tc>
          <w:tcPr>
            <w:tcW w:w="1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E6DC2" w14:textId="77777777" w:rsidR="00240BDF" w:rsidRDefault="008D687A">
            <w:pPr>
              <w:pStyle w:val="Tijelo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prakti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ni rad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5817F" w14:textId="77777777" w:rsidR="00240BDF" w:rsidRDefault="008D687A">
            <w:pPr>
              <w:pStyle w:val="Tijelo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drugi oblici</w:t>
            </w:r>
          </w:p>
        </w:tc>
      </w:tr>
      <w:tr w:rsidR="00240BDF" w14:paraId="251ED503" w14:textId="77777777">
        <w:trPr>
          <w:trHeight w:val="40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EEE0D" w14:textId="77777777" w:rsidR="00240BDF" w:rsidRDefault="008D687A">
            <w:pPr>
              <w:pStyle w:val="Tijelo"/>
              <w:spacing w:before="20" w:after="20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Na</w:t>
            </w: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in formiranja zavr</w:t>
            </w: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š</w:t>
            </w: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ne ocjene (%)</w:t>
            </w:r>
          </w:p>
        </w:tc>
        <w:tc>
          <w:tcPr>
            <w:tcW w:w="742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F23D8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% prvi 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kolokvij, 33% drugi kolokvij, 33% zavr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ni ispit</w:t>
            </w:r>
          </w:p>
        </w:tc>
      </w:tr>
      <w:tr w:rsidR="00240BDF" w14:paraId="75A3FF8E" w14:textId="77777777">
        <w:trPr>
          <w:trHeight w:val="40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9443" w14:textId="77777777" w:rsidR="00240BDF" w:rsidRDefault="008D687A">
            <w:pPr>
              <w:pStyle w:val="Tijelo"/>
              <w:spacing w:before="20" w:after="20"/>
              <w:rPr>
                <w:rStyle w:val="Bez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 xml:space="preserve">Ocjenjivanje </w:t>
            </w:r>
          </w:p>
          <w:p w14:paraId="37EAA36C" w14:textId="77777777" w:rsidR="00240BDF" w:rsidRDefault="008D687A">
            <w:pPr>
              <w:pStyle w:val="Tijelo"/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C3698" w14:textId="77777777" w:rsidR="00240BDF" w:rsidRDefault="008D687A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manje od 60%</w:t>
            </w:r>
          </w:p>
        </w:tc>
        <w:tc>
          <w:tcPr>
            <w:tcW w:w="63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74AFA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% nedovoljan (1)</w:t>
            </w:r>
          </w:p>
        </w:tc>
      </w:tr>
      <w:tr w:rsidR="00240BDF" w14:paraId="6B419B2D" w14:textId="77777777">
        <w:trPr>
          <w:trHeight w:val="202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8FE745" w14:textId="77777777" w:rsidR="00240BDF" w:rsidRDefault="00240BDF"/>
        </w:tc>
        <w:tc>
          <w:tcPr>
            <w:tcW w:w="1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80AAC" w14:textId="77777777" w:rsidR="00240BDF" w:rsidRDefault="008D687A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60-70 %</w:t>
            </w:r>
          </w:p>
        </w:tc>
        <w:tc>
          <w:tcPr>
            <w:tcW w:w="63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E42B3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% dovoljan (2)</w:t>
            </w:r>
          </w:p>
        </w:tc>
      </w:tr>
      <w:tr w:rsidR="00240BDF" w14:paraId="085A7229" w14:textId="77777777">
        <w:trPr>
          <w:trHeight w:val="202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EAF87F" w14:textId="77777777" w:rsidR="00240BDF" w:rsidRDefault="00240BDF"/>
        </w:tc>
        <w:tc>
          <w:tcPr>
            <w:tcW w:w="1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BF063" w14:textId="77777777" w:rsidR="00240BDF" w:rsidRDefault="008D687A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70-80%</w:t>
            </w:r>
          </w:p>
        </w:tc>
        <w:tc>
          <w:tcPr>
            <w:tcW w:w="63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1CE0C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% dobar (3)</w:t>
            </w:r>
          </w:p>
        </w:tc>
      </w:tr>
      <w:tr w:rsidR="00240BDF" w14:paraId="49DB7DE4" w14:textId="77777777">
        <w:trPr>
          <w:trHeight w:val="202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DA5388" w14:textId="77777777" w:rsidR="00240BDF" w:rsidRDefault="00240BDF"/>
        </w:tc>
        <w:tc>
          <w:tcPr>
            <w:tcW w:w="1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34A92" w14:textId="77777777" w:rsidR="00240BDF" w:rsidRDefault="008D687A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80-90%</w:t>
            </w:r>
          </w:p>
        </w:tc>
        <w:tc>
          <w:tcPr>
            <w:tcW w:w="63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0856D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% vrlo dobar (4)</w:t>
            </w:r>
          </w:p>
        </w:tc>
      </w:tr>
      <w:tr w:rsidR="00240BDF" w14:paraId="21D89F97" w14:textId="77777777">
        <w:trPr>
          <w:trHeight w:val="202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795EC3" w14:textId="77777777" w:rsidR="00240BDF" w:rsidRDefault="00240BDF"/>
        </w:tc>
        <w:tc>
          <w:tcPr>
            <w:tcW w:w="1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0487" w14:textId="77777777" w:rsidR="00240BDF" w:rsidRDefault="008D687A">
            <w:pPr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90% i vi</w:t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</w:p>
        </w:tc>
        <w:tc>
          <w:tcPr>
            <w:tcW w:w="63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B96E4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% izvrstan (5)</w:t>
            </w:r>
          </w:p>
        </w:tc>
      </w:tr>
      <w:tr w:rsidR="00240BDF" w14:paraId="523D26E8" w14:textId="77777777">
        <w:trPr>
          <w:trHeight w:val="108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F39F4" w14:textId="77777777" w:rsidR="00240BDF" w:rsidRDefault="008D687A">
            <w:pPr>
              <w:pStyle w:val="Tijelo"/>
              <w:spacing w:before="20" w:after="20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Na</w:t>
            </w: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  <w:lang w:val="it-IT"/>
              </w:rPr>
              <w:t>in pra</w:t>
            </w: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ć</w:t>
            </w: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enja kvalitete</w:t>
            </w:r>
          </w:p>
        </w:tc>
        <w:tc>
          <w:tcPr>
            <w:tcW w:w="742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EEDCD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ＭＳ ゴシック" w:hAnsi="ＭＳ ゴシック"/>
                <w:sz w:val="18"/>
                <w:szCs w:val="18"/>
              </w:rPr>
              <w:t>x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studentska evaluacija nastave na razini Sveu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ili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ta </w:t>
            </w:r>
          </w:p>
          <w:p w14:paraId="43C5B919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studentska evaluacija nastave na razini sastavnice</w:t>
            </w:r>
          </w:p>
          <w:p w14:paraId="135AD5F1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interna evaluacija nastave </w:t>
            </w:r>
          </w:p>
          <w:p w14:paraId="1ECE3A92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ＭＳ ゴシック" w:hAnsi="ＭＳ ゴシック"/>
                <w:sz w:val="18"/>
                <w:szCs w:val="18"/>
              </w:rPr>
              <w:t>x</w:t>
            </w:r>
            <w:bookmarkStart w:id="0" w:name="_GoBack"/>
            <w:bookmarkEnd w:id="0"/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tematske sjednice stru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nih vije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ć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a sastavnica o kvaliteti nastave i rezultatima studentske ankete</w:t>
            </w:r>
          </w:p>
          <w:p w14:paraId="68A9B978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ＭＳ ゴシック" w:hAnsi="ＭＳ ゴシック"/>
                <w:sz w:val="18"/>
                <w:szCs w:val="18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ostalo</w:t>
            </w:r>
          </w:p>
        </w:tc>
      </w:tr>
      <w:tr w:rsidR="00240BDF" w14:paraId="22DAC10F" w14:textId="77777777">
        <w:trPr>
          <w:trHeight w:val="502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A64DB" w14:textId="77777777" w:rsidR="00240BDF" w:rsidRDefault="008D687A">
            <w:pPr>
              <w:pStyle w:val="Tijelo"/>
              <w:spacing w:before="20" w:after="20"/>
            </w:pP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Napomena</w:t>
            </w: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 </w:t>
            </w: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 </w:t>
            </w:r>
            <w:r>
              <w:rPr>
                <w:rStyle w:val="Bez"/>
                <w:rFonts w:ascii="Times New Roman" w:hAnsi="Times New Roman"/>
                <w:b/>
                <w:bCs/>
                <w:sz w:val="18"/>
                <w:szCs w:val="18"/>
              </w:rPr>
              <w:t>Ostalo</w:t>
            </w:r>
          </w:p>
        </w:tc>
        <w:tc>
          <w:tcPr>
            <w:tcW w:w="742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DF7B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Sukladno 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l. 6. 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it-IT"/>
              </w:rPr>
              <w:t>Eti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</w:rPr>
              <w:t>kog kodeksa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Odbora za etiku u znanosti i visokom obrazovanju, 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„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od studenta se o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ekuje da po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teno i eti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no ispunjava svoje obveze, da mu je temeljni cilj akademska izvrsnost, da se pona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a civilizirano, s po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tovanjem i bez predrasuda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544934D2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Prema 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l. 14. 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  <w:lang w:val="it-IT"/>
              </w:rPr>
              <w:t>Eti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i/>
                <w:iCs/>
                <w:sz w:val="18"/>
                <w:szCs w:val="18"/>
              </w:rPr>
              <w:t>kog kodeksa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 Sv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eu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ili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ta u Zadru, od studenata se o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ekuje 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„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odgovorno i savjesno ispunjavanje obveza. [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…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] Du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ž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nost je studenata/studentica 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uvati ugled i dostojanstvo svih 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lanova/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lanica sveu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ili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ne zajednice i Sveu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ili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ta u Zadru u cjelini, promovirati moralne i akademsk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e vrijednosti i na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ela.</w:t>
            </w:r>
            <w:r>
              <w:rPr>
                <w:rStyle w:val="Bez"/>
                <w:rFonts w:ascii="Times New Roman" w:hAnsi="Times New Roman"/>
              </w:rPr>
              <w:t xml:space="preserve"> 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[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…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] </w:t>
            </w:r>
          </w:p>
          <w:p w14:paraId="177C2C8A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>Eti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ki je nedopu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ten svaki 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in koji predstavlja povrjedu akademskog po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tenja. To uklju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uje, ali se ne ograni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ava samo na: </w:t>
            </w:r>
          </w:p>
          <w:p w14:paraId="11C57238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- razne oblike prijevare kao 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to su uporaba ili posjedovanje knjiga, bilje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ž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aka, podataka, elektroni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kih 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naprava ili drugih pomagala za vrijeme ispita, osim u slu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ajevima kada je to izrijekom dopu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teno; </w:t>
            </w:r>
          </w:p>
          <w:p w14:paraId="5EBB77C7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- razne oblike krivotvorenja kao 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to su uporaba ili posjedovanje neautorizirana materijala tijekom ispita; la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ž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no predstavljanje i nazo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nost ispitima u ime dr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ugih studenata; la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ž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iranje dokumenata u vezi sa studijima; falsificiranje potpisa i ocjena; krivotvorenje rezultata ispita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.</w:t>
            </w:r>
          </w:p>
          <w:p w14:paraId="58EEF84A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Svi oblici neeti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nog pona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anja rezultirat 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ć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e negativnom ocjenom u kolegiju bez mogu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ć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nosti nadoknade ili popravka. U slu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aju te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ž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ih po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vreda primjenjuje se </w:t>
            </w:r>
            <w:hyperlink r:id="rId15" w:history="1">
              <w:r>
                <w:rPr>
                  <w:rStyle w:val="Hyperlink3"/>
                  <w:rFonts w:eastAsia="Arial Unicode MS"/>
                  <w:sz w:val="18"/>
                  <w:szCs w:val="18"/>
                </w:rPr>
                <w:t>Pravilnik o stegovnoj odgovornosti studenata/studentica Sveu</w:t>
              </w:r>
              <w:r>
                <w:rPr>
                  <w:rStyle w:val="Hyperlink3"/>
                  <w:rFonts w:eastAsia="Arial Unicode MS"/>
                  <w:sz w:val="18"/>
                  <w:szCs w:val="18"/>
                </w:rPr>
                <w:t>č</w:t>
              </w:r>
              <w:r>
                <w:rPr>
                  <w:rStyle w:val="Hyperlink3"/>
                  <w:rFonts w:eastAsia="Arial Unicode MS"/>
                  <w:sz w:val="18"/>
                  <w:szCs w:val="18"/>
                </w:rPr>
                <w:t>ili</w:t>
              </w:r>
              <w:r>
                <w:rPr>
                  <w:rStyle w:val="Hyperlink3"/>
                  <w:rFonts w:eastAsia="Arial Unicode MS"/>
                  <w:sz w:val="18"/>
                  <w:szCs w:val="18"/>
                </w:rPr>
                <w:t>š</w:t>
              </w:r>
              <w:r>
                <w:rPr>
                  <w:rStyle w:val="Hyperlink3"/>
                  <w:rFonts w:eastAsia="Arial Unicode MS"/>
                  <w:sz w:val="18"/>
                  <w:szCs w:val="18"/>
                </w:rPr>
                <w:t>ta u Zadru</w:t>
              </w:r>
            </w:hyperlink>
            <w:r>
              <w:rPr>
                <w:rStyle w:val="Bez"/>
                <w:rFonts w:ascii="Times New Roman" w:hAnsi="Times New Roman"/>
                <w:sz w:val="18"/>
                <w:szCs w:val="18"/>
              </w:rPr>
              <w:t>.</w:t>
            </w:r>
          </w:p>
          <w:p w14:paraId="62B81768" w14:textId="77777777" w:rsidR="00240BDF" w:rsidRDefault="00240BDF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66D988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U elektronskoj komunikaciji bit 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ć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e odgovarano samo na poruke koje dolaze s poznatih adresa s imenom i prezimenom, te koje su napisane hrvatskim standardom i primjerenim akademskim stilom.</w:t>
            </w:r>
          </w:p>
          <w:p w14:paraId="43B40DB3" w14:textId="77777777" w:rsidR="00240BDF" w:rsidRDefault="00240BDF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7E56F4" w14:textId="77777777" w:rsidR="00240BDF" w:rsidRDefault="008D687A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</w:rPr>
              <w:t>U kolegiju se koristi Merlin, sustav za e-u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 xml:space="preserve">enje, pa su studentima 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potrebni AAI ra</w:t>
            </w:r>
            <w:r>
              <w:rPr>
                <w:rStyle w:val="Bez"/>
                <w:rFonts w:ascii="Times New Roman" w:hAnsi="Times New Roman"/>
                <w:sz w:val="18"/>
                <w:szCs w:val="18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lang w:val="it-IT"/>
              </w:rPr>
              <w:t>uni.</w:t>
            </w:r>
          </w:p>
        </w:tc>
      </w:tr>
    </w:tbl>
    <w:p w14:paraId="3D2D1E03" w14:textId="77777777" w:rsidR="00240BDF" w:rsidRDefault="00240BDF">
      <w:pPr>
        <w:pStyle w:val="Tijelo"/>
        <w:widowControl w:val="0"/>
      </w:pPr>
    </w:p>
    <w:sectPr w:rsidR="00240BDF">
      <w:headerReference w:type="default" r:id="rId16"/>
      <w:footerReference w:type="default" r:id="rId1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F9C64" w14:textId="77777777" w:rsidR="00000000" w:rsidRDefault="008D687A">
      <w:r>
        <w:separator/>
      </w:r>
    </w:p>
  </w:endnote>
  <w:endnote w:type="continuationSeparator" w:id="0">
    <w:p w14:paraId="09ECFCC7" w14:textId="77777777" w:rsidR="00000000" w:rsidRDefault="008D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35471" w14:textId="77777777" w:rsidR="00240BDF" w:rsidRDefault="00240BDF">
    <w:pPr>
      <w:pStyle w:val="Zaglavljeipodnoj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53076" w14:textId="77777777" w:rsidR="00240BDF" w:rsidRDefault="008D687A">
      <w:r>
        <w:separator/>
      </w:r>
    </w:p>
  </w:footnote>
  <w:footnote w:type="continuationSeparator" w:id="0">
    <w:p w14:paraId="64E19959" w14:textId="77777777" w:rsidR="00240BDF" w:rsidRDefault="008D687A">
      <w:r>
        <w:continuationSeparator/>
      </w:r>
    </w:p>
  </w:footnote>
  <w:footnote w:type="continuationNotice" w:id="1">
    <w:p w14:paraId="42F4E1D3" w14:textId="77777777" w:rsidR="00240BDF" w:rsidRDefault="00240BDF"/>
  </w:footnote>
  <w:footnote w:id="2">
    <w:p w14:paraId="086A94A9" w14:textId="77777777" w:rsidR="00240BDF" w:rsidRDefault="008D687A">
      <w:pPr>
        <w:pStyle w:val="FootnoteTex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*</w:t>
      </w:r>
      <w:r>
        <w:t xml:space="preserve"> </w:t>
      </w:r>
      <w:r>
        <w:rPr>
          <w:rFonts w:ascii="Times New Roman" w:hAnsi="Times New Roman"/>
          <w:i/>
          <w:iCs/>
          <w:color w:val="404040"/>
          <w:sz w:val="18"/>
          <w:szCs w:val="18"/>
          <w:u w:color="404040"/>
        </w:rPr>
        <w:t>Rije</w:t>
      </w:r>
      <w:r>
        <w:rPr>
          <w:rFonts w:ascii="Times New Roman" w:hAnsi="Times New Roman"/>
          <w:i/>
          <w:iCs/>
          <w:color w:val="404040"/>
          <w:sz w:val="18"/>
          <w:szCs w:val="18"/>
          <w:u w:color="404040"/>
        </w:rPr>
        <w:t>č</w:t>
      </w:r>
      <w:r>
        <w:rPr>
          <w:rFonts w:ascii="Times New Roman" w:hAnsi="Times New Roman"/>
          <w:i/>
          <w:iCs/>
          <w:color w:val="404040"/>
          <w:sz w:val="18"/>
          <w:szCs w:val="18"/>
          <w:u w:color="404040"/>
        </w:rPr>
        <w:t xml:space="preserve">i i pojmovni sklopovi u ovom obrascu </w:t>
      </w:r>
      <w:r>
        <w:rPr>
          <w:rFonts w:ascii="Times New Roman" w:hAnsi="Times New Roman"/>
          <w:i/>
          <w:iCs/>
          <w:color w:val="404040"/>
          <w:sz w:val="18"/>
          <w:szCs w:val="18"/>
          <w:u w:color="404040"/>
        </w:rPr>
        <w:t>koji imaju rodno zna</w:t>
      </w:r>
      <w:r>
        <w:rPr>
          <w:rFonts w:ascii="Times New Roman" w:hAnsi="Times New Roman"/>
          <w:i/>
          <w:iCs/>
          <w:color w:val="404040"/>
          <w:sz w:val="18"/>
          <w:szCs w:val="18"/>
          <w:u w:color="404040"/>
        </w:rPr>
        <w:t>č</w:t>
      </w:r>
      <w:r>
        <w:rPr>
          <w:rFonts w:ascii="Times New Roman" w:hAnsi="Times New Roman"/>
          <w:i/>
          <w:iCs/>
          <w:color w:val="404040"/>
          <w:sz w:val="18"/>
          <w:szCs w:val="18"/>
          <w:u w:color="404040"/>
        </w:rPr>
        <w:t>enje odnose se na jednak na</w:t>
      </w:r>
      <w:r>
        <w:rPr>
          <w:rFonts w:ascii="Times New Roman" w:hAnsi="Times New Roman"/>
          <w:i/>
          <w:iCs/>
          <w:color w:val="404040"/>
          <w:sz w:val="18"/>
          <w:szCs w:val="18"/>
          <w:u w:color="404040"/>
        </w:rPr>
        <w:t>č</w:t>
      </w:r>
      <w:r>
        <w:rPr>
          <w:rFonts w:ascii="Times New Roman" w:hAnsi="Times New Roman"/>
          <w:i/>
          <w:iCs/>
          <w:color w:val="404040"/>
          <w:sz w:val="18"/>
          <w:szCs w:val="18"/>
          <w:u w:color="404040"/>
        </w:rPr>
        <w:t>in na mu</w:t>
      </w:r>
      <w:r>
        <w:rPr>
          <w:rFonts w:ascii="Times New Roman" w:hAnsi="Times New Roman"/>
          <w:i/>
          <w:iCs/>
          <w:color w:val="404040"/>
          <w:sz w:val="18"/>
          <w:szCs w:val="18"/>
          <w:u w:color="404040"/>
        </w:rPr>
        <w:t>š</w:t>
      </w:r>
      <w:r>
        <w:rPr>
          <w:rFonts w:ascii="Times New Roman" w:hAnsi="Times New Roman"/>
          <w:i/>
          <w:iCs/>
          <w:color w:val="404040"/>
          <w:sz w:val="18"/>
          <w:szCs w:val="18"/>
          <w:u w:color="404040"/>
        </w:rPr>
        <w:t xml:space="preserve">ki i </w:t>
      </w:r>
      <w:r>
        <w:rPr>
          <w:rFonts w:ascii="Times New Roman" w:hAnsi="Times New Roman"/>
          <w:i/>
          <w:iCs/>
          <w:color w:val="404040"/>
          <w:sz w:val="18"/>
          <w:szCs w:val="18"/>
          <w:u w:color="404040"/>
        </w:rPr>
        <w:t>ž</w:t>
      </w:r>
      <w:r>
        <w:rPr>
          <w:rFonts w:ascii="Times New Roman" w:hAnsi="Times New Roman"/>
          <w:i/>
          <w:iCs/>
          <w:color w:val="404040"/>
          <w:sz w:val="18"/>
          <w:szCs w:val="18"/>
          <w:u w:color="404040"/>
        </w:rPr>
        <w:t>enski rod.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E9F41" w14:textId="77777777" w:rsidR="00240BDF" w:rsidRDefault="008D687A">
    <w:pPr>
      <w:pStyle w:val="Naslov2"/>
      <w:tabs>
        <w:tab w:val="left" w:pos="1418"/>
      </w:tabs>
      <w:spacing w:before="0" w:after="0"/>
      <w:ind w:left="1560"/>
      <w:rPr>
        <w:rFonts w:ascii="Georgia" w:eastAsia="Georgia" w:hAnsi="Georgia" w:cs="Georgia"/>
        <w:b w:val="0"/>
        <w:bCs w:val="0"/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ABA67F1" wp14:editId="0C328024">
              <wp:simplePos x="0" y="0"/>
              <wp:positionH relativeFrom="page">
                <wp:posOffset>692149</wp:posOffset>
              </wp:positionH>
              <wp:positionV relativeFrom="page">
                <wp:posOffset>181610</wp:posOffset>
              </wp:positionV>
              <wp:extent cx="1163320" cy="957581"/>
              <wp:effectExtent l="0" t="0" r="0" b="0"/>
              <wp:wrapNone/>
              <wp:docPr id="1073741825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3320" cy="9575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5CBA80D" w14:textId="77777777" w:rsidR="00240BDF" w:rsidRDefault="008D687A">
                          <w:pPr>
                            <w:pStyle w:val="Tijel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184B38" wp14:editId="070AA1CA">
                                <wp:extent cx="971550" cy="807865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4.5pt;margin-top:14.3pt;width:91.6pt;height:75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Tijelo"/>
                    </w:pPr>
                    <w:r>
                      <w:drawing>
                        <wp:inline distT="0" distB="0" distL="0" distR="0">
                          <wp:extent cx="971550" cy="807865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2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Fonts w:ascii="Georgia" w:hAnsi="Georgia"/>
        <w:sz w:val="22"/>
        <w:szCs w:val="22"/>
      </w:rPr>
      <w:t>SVEU</w:t>
    </w:r>
    <w:r>
      <w:rPr>
        <w:rFonts w:ascii="Georgia" w:hAnsi="Georgia"/>
        <w:sz w:val="22"/>
        <w:szCs w:val="22"/>
      </w:rPr>
      <w:t>Č</w:t>
    </w:r>
    <w:r>
      <w:rPr>
        <w:rFonts w:ascii="Georgia" w:hAnsi="Georgia"/>
        <w:sz w:val="22"/>
        <w:szCs w:val="22"/>
        <w:lang w:val="da-DK"/>
      </w:rPr>
      <w:t>ILI</w:t>
    </w:r>
    <w:r>
      <w:rPr>
        <w:rFonts w:ascii="Georgia" w:hAnsi="Georgia"/>
        <w:sz w:val="22"/>
        <w:szCs w:val="22"/>
      </w:rPr>
      <w:t>Š</w:t>
    </w:r>
    <w:r>
      <w:rPr>
        <w:rFonts w:ascii="Georgia" w:hAnsi="Georgia"/>
        <w:sz w:val="22"/>
        <w:szCs w:val="22"/>
      </w:rPr>
      <w:t>TE U ZADRU</w:t>
    </w:r>
    <w:r>
      <w:rPr>
        <w:rFonts w:ascii="Georgia" w:hAnsi="Georgia"/>
        <w:sz w:val="22"/>
        <w:szCs w:val="22"/>
      </w:rPr>
      <w:tab/>
    </w:r>
    <w:r>
      <w:rPr>
        <w:rFonts w:ascii="Georgia" w:hAnsi="Georgia"/>
        <w:sz w:val="22"/>
        <w:szCs w:val="22"/>
      </w:rPr>
      <w:tab/>
    </w:r>
  </w:p>
  <w:p w14:paraId="73203E47" w14:textId="77777777" w:rsidR="00240BDF" w:rsidRDefault="008D687A">
    <w:pPr>
      <w:pStyle w:val="Naslov2"/>
      <w:tabs>
        <w:tab w:val="left" w:pos="1418"/>
      </w:tabs>
      <w:spacing w:before="0" w:after="0"/>
      <w:ind w:left="1559"/>
      <w:rPr>
        <w:rFonts w:ascii="Georgia" w:eastAsia="Georgia" w:hAnsi="Georgia" w:cs="Georgia"/>
        <w:b w:val="0"/>
        <w:bCs w:val="0"/>
        <w:sz w:val="22"/>
        <w:szCs w:val="22"/>
      </w:rPr>
    </w:pPr>
    <w:r>
      <w:rPr>
        <w:rFonts w:ascii="Georgia" w:hAnsi="Georgia"/>
        <w:sz w:val="22"/>
        <w:szCs w:val="22"/>
      </w:rPr>
      <w:t xml:space="preserve">UNIVERSITAS STUDIORUM IADERTINA </w:t>
    </w:r>
  </w:p>
  <w:p w14:paraId="37021671" w14:textId="77777777" w:rsidR="00240BDF" w:rsidRDefault="008D687A">
    <w:pPr>
      <w:pStyle w:val="Tijelo"/>
      <w:pBdr>
        <w:bottom w:val="single" w:sz="4" w:space="0" w:color="000000"/>
      </w:pBdr>
      <w:tabs>
        <w:tab w:val="left" w:pos="1418"/>
      </w:tabs>
      <w:spacing w:before="0" w:after="0"/>
      <w:ind w:left="1560"/>
      <w:rPr>
        <w:rFonts w:ascii="Georgia" w:eastAsia="Georgia" w:hAnsi="Georgia" w:cs="Georgia"/>
        <w:sz w:val="18"/>
        <w:szCs w:val="18"/>
      </w:rPr>
    </w:pPr>
    <w:r>
      <w:rPr>
        <w:rFonts w:ascii="Georgia" w:hAnsi="Georgia"/>
        <w:sz w:val="18"/>
        <w:szCs w:val="18"/>
      </w:rPr>
      <w:t>Obrazac 1.3.2. Izvedbeni plan nastave (</w:t>
    </w:r>
    <w:r>
      <w:rPr>
        <w:rFonts w:ascii="Georgia" w:hAnsi="Georgia"/>
        <w:i/>
        <w:iCs/>
        <w:sz w:val="18"/>
        <w:szCs w:val="18"/>
      </w:rPr>
      <w:t>syllabus</w:t>
    </w:r>
    <w:r>
      <w:rPr>
        <w:rFonts w:ascii="Georgia" w:hAnsi="Georgia"/>
        <w:sz w:val="18"/>
        <w:szCs w:val="18"/>
      </w:rPr>
      <w:t>)</w:t>
    </w:r>
  </w:p>
  <w:p w14:paraId="6623AF36" w14:textId="77777777" w:rsidR="00240BDF" w:rsidRDefault="00240BDF">
    <w:pPr>
      <w:pStyle w:val="Header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21B4"/>
    <w:multiLevelType w:val="hybridMultilevel"/>
    <w:tmpl w:val="62A00022"/>
    <w:lvl w:ilvl="0" w:tplc="4ECA13A8">
      <w:start w:val="1"/>
      <w:numFmt w:val="bullet"/>
      <w:lvlText w:val="-"/>
      <w:lvlJc w:val="left"/>
      <w:pPr>
        <w:tabs>
          <w:tab w:val="left" w:pos="1218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5BB6">
      <w:start w:val="1"/>
      <w:numFmt w:val="bullet"/>
      <w:lvlText w:val="-"/>
      <w:lvlJc w:val="left"/>
      <w:pPr>
        <w:tabs>
          <w:tab w:val="left" w:pos="1218"/>
        </w:tabs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16B7AC">
      <w:start w:val="1"/>
      <w:numFmt w:val="bullet"/>
      <w:lvlText w:val="-"/>
      <w:lvlJc w:val="left"/>
      <w:pPr>
        <w:tabs>
          <w:tab w:val="left" w:pos="1218"/>
        </w:tabs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1ED944">
      <w:start w:val="1"/>
      <w:numFmt w:val="bullet"/>
      <w:lvlText w:val="-"/>
      <w:lvlJc w:val="left"/>
      <w:pPr>
        <w:tabs>
          <w:tab w:val="left" w:pos="1218"/>
        </w:tabs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82CDE8">
      <w:start w:val="1"/>
      <w:numFmt w:val="bullet"/>
      <w:lvlText w:val="-"/>
      <w:lvlJc w:val="left"/>
      <w:pPr>
        <w:tabs>
          <w:tab w:val="left" w:pos="1218"/>
        </w:tabs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CE2DB0">
      <w:start w:val="1"/>
      <w:numFmt w:val="bullet"/>
      <w:lvlText w:val="-"/>
      <w:lvlJc w:val="left"/>
      <w:pPr>
        <w:tabs>
          <w:tab w:val="left" w:pos="1218"/>
        </w:tabs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3241E4">
      <w:start w:val="1"/>
      <w:numFmt w:val="bullet"/>
      <w:lvlText w:val="-"/>
      <w:lvlJc w:val="left"/>
      <w:pPr>
        <w:tabs>
          <w:tab w:val="left" w:pos="1218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F24B92">
      <w:start w:val="1"/>
      <w:numFmt w:val="bullet"/>
      <w:lvlText w:val="-"/>
      <w:lvlJc w:val="left"/>
      <w:pPr>
        <w:tabs>
          <w:tab w:val="left" w:pos="1218"/>
        </w:tabs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40E2B8">
      <w:start w:val="1"/>
      <w:numFmt w:val="bullet"/>
      <w:lvlText w:val="-"/>
      <w:lvlJc w:val="left"/>
      <w:pPr>
        <w:tabs>
          <w:tab w:val="left" w:pos="1218"/>
        </w:tabs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6047D6"/>
    <w:multiLevelType w:val="hybridMultilevel"/>
    <w:tmpl w:val="5720BA4C"/>
    <w:lvl w:ilvl="0" w:tplc="9B745700">
      <w:start w:val="1"/>
      <w:numFmt w:val="bullet"/>
      <w:lvlText w:val="-"/>
      <w:lvlJc w:val="left"/>
      <w:pPr>
        <w:tabs>
          <w:tab w:val="left" w:pos="1218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A2F6D8">
      <w:start w:val="1"/>
      <w:numFmt w:val="bullet"/>
      <w:lvlText w:val="-"/>
      <w:lvlJc w:val="left"/>
      <w:pPr>
        <w:tabs>
          <w:tab w:val="left" w:pos="1218"/>
        </w:tabs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D636AE">
      <w:start w:val="1"/>
      <w:numFmt w:val="bullet"/>
      <w:lvlText w:val="-"/>
      <w:lvlJc w:val="left"/>
      <w:pPr>
        <w:tabs>
          <w:tab w:val="left" w:pos="1218"/>
        </w:tabs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E370C">
      <w:start w:val="1"/>
      <w:numFmt w:val="bullet"/>
      <w:lvlText w:val="-"/>
      <w:lvlJc w:val="left"/>
      <w:pPr>
        <w:tabs>
          <w:tab w:val="left" w:pos="1218"/>
        </w:tabs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2A49F6">
      <w:start w:val="1"/>
      <w:numFmt w:val="bullet"/>
      <w:lvlText w:val="-"/>
      <w:lvlJc w:val="left"/>
      <w:pPr>
        <w:tabs>
          <w:tab w:val="left" w:pos="1218"/>
        </w:tabs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84316E">
      <w:start w:val="1"/>
      <w:numFmt w:val="bullet"/>
      <w:lvlText w:val="-"/>
      <w:lvlJc w:val="left"/>
      <w:pPr>
        <w:tabs>
          <w:tab w:val="left" w:pos="1218"/>
        </w:tabs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10046E">
      <w:start w:val="1"/>
      <w:numFmt w:val="bullet"/>
      <w:lvlText w:val="-"/>
      <w:lvlJc w:val="left"/>
      <w:pPr>
        <w:tabs>
          <w:tab w:val="left" w:pos="1218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B4A438">
      <w:start w:val="1"/>
      <w:numFmt w:val="bullet"/>
      <w:lvlText w:val="-"/>
      <w:lvlJc w:val="left"/>
      <w:pPr>
        <w:tabs>
          <w:tab w:val="left" w:pos="1218"/>
        </w:tabs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4395E">
      <w:start w:val="1"/>
      <w:numFmt w:val="bullet"/>
      <w:lvlText w:val="-"/>
      <w:lvlJc w:val="left"/>
      <w:pPr>
        <w:tabs>
          <w:tab w:val="left" w:pos="1218"/>
        </w:tabs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0BDF"/>
    <w:rsid w:val="00240BDF"/>
    <w:rsid w:val="008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E92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slov2">
    <w:name w:val="Naslov 2"/>
    <w:pPr>
      <w:spacing w:before="100" w:after="100"/>
      <w:outlineLvl w:val="0"/>
    </w:pPr>
    <w:rPr>
      <w:rFonts w:cs="Arial Unicode MS"/>
      <w:b/>
      <w:bCs/>
      <w:color w:val="000000"/>
      <w:sz w:val="36"/>
      <w:szCs w:val="36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ijelo">
    <w:name w:val="Tijelo"/>
    <w:pPr>
      <w:spacing w:before="120" w:after="12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Bez">
    <w:name w:val="Bez"/>
  </w:style>
  <w:style w:type="character" w:customStyle="1" w:styleId="Hyperlink1">
    <w:name w:val="Hyperlink.1"/>
    <w:basedOn w:val="Bez"/>
    <w:rPr>
      <w:outline w:val="0"/>
      <w:color w:val="0000FF"/>
      <w:u w:color="0000FF"/>
      <w:lang w:val="en-US"/>
    </w:rPr>
  </w:style>
  <w:style w:type="character" w:customStyle="1" w:styleId="Hyperlink2">
    <w:name w:val="Hyperlink.2"/>
    <w:basedOn w:val="Bez"/>
    <w:rPr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Hyperlink0"/>
    <w:rPr>
      <w:rFonts w:ascii="Times New Roman" w:eastAsia="Times New Roman" w:hAnsi="Times New Roman" w:cs="Times New Roman"/>
      <w:i/>
      <w:iCs/>
      <w:outline w:val="0"/>
      <w:color w:val="000000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slov2">
    <w:name w:val="Naslov 2"/>
    <w:pPr>
      <w:spacing w:before="100" w:after="100"/>
      <w:outlineLvl w:val="0"/>
    </w:pPr>
    <w:rPr>
      <w:rFonts w:cs="Arial Unicode MS"/>
      <w:b/>
      <w:bCs/>
      <w:color w:val="000000"/>
      <w:sz w:val="36"/>
      <w:szCs w:val="36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ijelo">
    <w:name w:val="Tijelo"/>
    <w:pPr>
      <w:spacing w:before="120" w:after="12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Bez">
    <w:name w:val="Bez"/>
  </w:style>
  <w:style w:type="character" w:customStyle="1" w:styleId="Hyperlink1">
    <w:name w:val="Hyperlink.1"/>
    <w:basedOn w:val="Bez"/>
    <w:rPr>
      <w:outline w:val="0"/>
      <w:color w:val="0000FF"/>
      <w:u w:color="0000FF"/>
      <w:lang w:val="en-US"/>
    </w:rPr>
  </w:style>
  <w:style w:type="character" w:customStyle="1" w:styleId="Hyperlink2">
    <w:name w:val="Hyperlink.2"/>
    <w:basedOn w:val="Bez"/>
    <w:rPr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Hyperlink0"/>
    <w:rPr>
      <w:rFonts w:ascii="Times New Roman" w:eastAsia="Times New Roman" w:hAnsi="Times New Roman" w:cs="Times New Roman"/>
      <w:i/>
      <w:iCs/>
      <w:outline w:val="0"/>
      <w:color w:val="000000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rthistoryresources.net/ARTHLinks.html" TargetMode="External"/><Relationship Id="rId12" Type="http://schemas.openxmlformats.org/officeDocument/2006/relationships/hyperlink" Target="https://www.ancient.eu/explore/8/" TargetMode="External"/><Relationship Id="rId13" Type="http://schemas.openxmlformats.org/officeDocument/2006/relationships/hyperlink" Target="http://www.livius.org" TargetMode="External"/><Relationship Id="rId14" Type="http://schemas.openxmlformats.org/officeDocument/2006/relationships/hyperlink" Target="https://www.ancient-greece.org/index.html" TargetMode="Externa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zornija@unizd.hr" TargetMode="External"/><Relationship Id="rId9" Type="http://schemas.openxmlformats.org/officeDocument/2006/relationships/hyperlink" Target="mailto:mezornija@unizd.hr" TargetMode="External"/><Relationship Id="rId10" Type="http://schemas.openxmlformats.org/officeDocument/2006/relationships/hyperlink" Target="mailto:sbekavac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1552</Words>
  <Characters>8853</Characters>
  <Application>Microsoft Macintosh Word</Application>
  <DocSecurity>0</DocSecurity>
  <Lines>73</Lines>
  <Paragraphs>20</Paragraphs>
  <ScaleCrop>false</ScaleCrop>
  <Company>UNIZD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 Zornija</cp:lastModifiedBy>
  <cp:revision>2</cp:revision>
  <dcterms:created xsi:type="dcterms:W3CDTF">2019-09-21T16:27:00Z</dcterms:created>
  <dcterms:modified xsi:type="dcterms:W3CDTF">2019-09-21T16:28:00Z</dcterms:modified>
</cp:coreProperties>
</file>