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8102" w14:textId="77777777" w:rsidR="00892E11" w:rsidRPr="00DA59E8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DA59E8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DA59E8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DA59E8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DA59E8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DA59E8" w14:paraId="0850BBCD" w14:textId="77777777" w:rsidTr="006B61C3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41822CDA" w14:textId="77777777" w:rsidR="004B553E" w:rsidRPr="00DA59E8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Sastavnica</w:t>
            </w:r>
          </w:p>
        </w:tc>
        <w:tc>
          <w:tcPr>
            <w:tcW w:w="5202" w:type="dxa"/>
            <w:gridSpan w:val="20"/>
            <w:vAlign w:val="center"/>
          </w:tcPr>
          <w:p w14:paraId="39FF7C3D" w14:textId="7F7A78D5" w:rsidR="004B553E" w:rsidRPr="00DA59E8" w:rsidRDefault="000B346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Odjel za povijest umjetnosti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194E1039" w14:textId="77777777" w:rsidR="004B553E" w:rsidRPr="00DA59E8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proofErr w:type="spellStart"/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akad</w:t>
            </w:r>
            <w:proofErr w:type="spellEnd"/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. god.</w:t>
            </w:r>
          </w:p>
        </w:tc>
        <w:tc>
          <w:tcPr>
            <w:tcW w:w="1543" w:type="dxa"/>
            <w:gridSpan w:val="3"/>
            <w:vAlign w:val="center"/>
          </w:tcPr>
          <w:p w14:paraId="62D108F0" w14:textId="4E93F5FF" w:rsidR="004B553E" w:rsidRPr="00DA59E8" w:rsidRDefault="0018789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>202</w:t>
            </w:r>
            <w:r w:rsidR="00341EED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FF1020" w:rsidRPr="00DA59E8">
              <w:rPr>
                <w:rFonts w:ascii="Merriweather" w:hAnsi="Merriweather" w:cs="Times New Roman"/>
                <w:sz w:val="16"/>
                <w:szCs w:val="16"/>
              </w:rPr>
              <w:t>./202</w:t>
            </w:r>
            <w:r w:rsidR="00341EED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FF1020" w:rsidRPr="00DA59E8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B553E" w:rsidRPr="00DA59E8" w14:paraId="58821006" w14:textId="77777777" w:rsidTr="006B61C3">
        <w:trPr>
          <w:trHeight w:val="178"/>
        </w:trPr>
        <w:tc>
          <w:tcPr>
            <w:tcW w:w="1789" w:type="dxa"/>
            <w:shd w:val="clear" w:color="auto" w:fill="F2F2F2" w:themeFill="background1" w:themeFillShade="F2"/>
          </w:tcPr>
          <w:p w14:paraId="1C416E6F" w14:textId="77777777" w:rsidR="004B553E" w:rsidRPr="00DA59E8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Naziv kolegija</w:t>
            </w:r>
          </w:p>
        </w:tc>
        <w:tc>
          <w:tcPr>
            <w:tcW w:w="5202" w:type="dxa"/>
            <w:gridSpan w:val="20"/>
            <w:vAlign w:val="center"/>
          </w:tcPr>
          <w:p w14:paraId="15364C54" w14:textId="50C82E1B" w:rsidR="004B553E" w:rsidRPr="00DA59E8" w:rsidRDefault="0018789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Osnove arhitekture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5F1AE83D" w14:textId="77777777" w:rsidR="004B553E" w:rsidRPr="00DA59E8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43" w:type="dxa"/>
            <w:gridSpan w:val="3"/>
          </w:tcPr>
          <w:p w14:paraId="264C4F11" w14:textId="7BD25167" w:rsidR="004B553E" w:rsidRPr="00DA59E8" w:rsidRDefault="00BE781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7</w:t>
            </w:r>
          </w:p>
        </w:tc>
      </w:tr>
      <w:tr w:rsidR="004B553E" w:rsidRPr="00DA59E8" w14:paraId="76C94058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10AD8FA6" w14:textId="77777777" w:rsidR="004B553E" w:rsidRPr="00DA59E8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Naziv studija</w:t>
            </w:r>
          </w:p>
        </w:tc>
        <w:tc>
          <w:tcPr>
            <w:tcW w:w="7499" w:type="dxa"/>
            <w:gridSpan w:val="27"/>
            <w:shd w:val="clear" w:color="auto" w:fill="FFFFFF" w:themeFill="background1"/>
            <w:vAlign w:val="center"/>
          </w:tcPr>
          <w:p w14:paraId="6D6C8222" w14:textId="55B21F12" w:rsidR="004B553E" w:rsidRPr="00DA59E8" w:rsidRDefault="0018789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Povijest umjetnosti</w:t>
            </w:r>
            <w:r w:rsidR="006410E8" w:rsidRPr="00DA59E8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– preddiplomski studij</w:t>
            </w:r>
          </w:p>
        </w:tc>
      </w:tr>
      <w:tr w:rsidR="004B553E" w:rsidRPr="00DA59E8" w14:paraId="72D0D4BB" w14:textId="77777777" w:rsidTr="006B61C3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21B662B0" w14:textId="77777777" w:rsidR="004B553E" w:rsidRPr="00DA59E8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2" w:type="dxa"/>
            <w:gridSpan w:val="8"/>
          </w:tcPr>
          <w:p w14:paraId="6CF4B102" w14:textId="29A8DE9C" w:rsidR="004B553E" w:rsidRPr="00DA59E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DA59E8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23" w:type="dxa"/>
            <w:gridSpan w:val="6"/>
          </w:tcPr>
          <w:p w14:paraId="023786FA" w14:textId="77777777" w:rsidR="004B553E" w:rsidRPr="00DA59E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A59E8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57" w:type="dxa"/>
            <w:gridSpan w:val="6"/>
          </w:tcPr>
          <w:p w14:paraId="2741D201" w14:textId="77777777" w:rsidR="004B553E" w:rsidRPr="00DA59E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A59E8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7" w:type="dxa"/>
            <w:gridSpan w:val="7"/>
            <w:shd w:val="clear" w:color="auto" w:fill="FFFFFF" w:themeFill="background1"/>
          </w:tcPr>
          <w:p w14:paraId="23223826" w14:textId="77777777" w:rsidR="004B553E" w:rsidRPr="00DA59E8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A59E8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DA59E8" w14:paraId="6A099C39" w14:textId="77777777" w:rsidTr="006B61C3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507DFC59" w14:textId="77777777" w:rsidR="004B553E" w:rsidRPr="00DA59E8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0C46CA43" w14:textId="5B5EF364" w:rsidR="004B553E" w:rsidRPr="00DA59E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DA59E8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1" w:type="dxa"/>
            <w:gridSpan w:val="7"/>
            <w:shd w:val="clear" w:color="auto" w:fill="FFFFFF" w:themeFill="background1"/>
            <w:vAlign w:val="center"/>
          </w:tcPr>
          <w:p w14:paraId="12CA1D59" w14:textId="77777777" w:rsidR="004B553E" w:rsidRPr="00DA59E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A59E8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87" w:type="dxa"/>
            <w:gridSpan w:val="5"/>
            <w:shd w:val="clear" w:color="auto" w:fill="FFFFFF" w:themeFill="background1"/>
            <w:vAlign w:val="center"/>
          </w:tcPr>
          <w:p w14:paraId="6ED48ADD" w14:textId="77777777" w:rsidR="004B553E" w:rsidRPr="00DA59E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A59E8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6AE02E94" w14:textId="77777777" w:rsidR="004B553E" w:rsidRPr="00DA59E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A59E8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3567CBFE" w14:textId="77777777" w:rsidR="004B553E" w:rsidRPr="00DA59E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A59E8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DA59E8" w14:paraId="1C3EA495" w14:textId="77777777" w:rsidTr="006B61C3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0DBB2574" w14:textId="77777777" w:rsidR="004B553E" w:rsidRPr="00DA59E8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2" w:type="dxa"/>
            <w:gridSpan w:val="3"/>
          </w:tcPr>
          <w:p w14:paraId="5F989873" w14:textId="3A74A5F5" w:rsidR="004B553E" w:rsidRPr="00DA59E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DA59E8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C1D4E4A" w14:textId="77777777" w:rsidR="004B553E" w:rsidRPr="00DA59E8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A59E8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4" w:type="dxa"/>
            <w:gridSpan w:val="6"/>
            <w:vAlign w:val="center"/>
          </w:tcPr>
          <w:p w14:paraId="0B5156E9" w14:textId="745FBF5F" w:rsidR="004B553E" w:rsidRPr="00DA59E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DA59E8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119" w:type="dxa"/>
            <w:gridSpan w:val="5"/>
            <w:vAlign w:val="center"/>
          </w:tcPr>
          <w:p w14:paraId="4A7FDD05" w14:textId="77777777" w:rsidR="004B553E" w:rsidRPr="00DA59E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A59E8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2" w:type="dxa"/>
            <w:gridSpan w:val="3"/>
            <w:vAlign w:val="center"/>
          </w:tcPr>
          <w:p w14:paraId="264EE162" w14:textId="77777777" w:rsidR="004B553E" w:rsidRPr="00DA59E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A59E8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2" w:type="dxa"/>
            <w:gridSpan w:val="4"/>
            <w:vAlign w:val="center"/>
          </w:tcPr>
          <w:p w14:paraId="3B293AE7" w14:textId="77777777" w:rsidR="004B553E" w:rsidRPr="00DA59E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A59E8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35" w:type="dxa"/>
            <w:gridSpan w:val="5"/>
            <w:vAlign w:val="center"/>
          </w:tcPr>
          <w:p w14:paraId="37C582A4" w14:textId="77777777" w:rsidR="004B553E" w:rsidRPr="00DA59E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A59E8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95" w:type="dxa"/>
            <w:vAlign w:val="center"/>
          </w:tcPr>
          <w:p w14:paraId="2F319570" w14:textId="77777777" w:rsidR="004B553E" w:rsidRPr="00DA59E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A59E8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DA59E8" w14:paraId="3231A124" w14:textId="77777777" w:rsidTr="006B61C3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2A3CB921" w14:textId="77777777" w:rsidR="00393964" w:rsidRPr="00DA59E8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2" w:type="dxa"/>
            <w:gridSpan w:val="3"/>
            <w:vAlign w:val="center"/>
          </w:tcPr>
          <w:p w14:paraId="7696E806" w14:textId="0FEB583B" w:rsidR="00393964" w:rsidRPr="00DA59E8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93964" w:rsidRPr="00DA59E8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DA59E8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4" w:type="dxa"/>
            <w:gridSpan w:val="6"/>
            <w:vAlign w:val="center"/>
          </w:tcPr>
          <w:p w14:paraId="1650217F" w14:textId="77777777" w:rsidR="00393964" w:rsidRPr="00DA59E8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DA59E8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DA59E8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69" w:type="dxa"/>
            <w:gridSpan w:val="10"/>
            <w:vAlign w:val="center"/>
          </w:tcPr>
          <w:p w14:paraId="1B21CD98" w14:textId="77777777" w:rsidR="00393964" w:rsidRPr="00DA59E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DA59E8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DA59E8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DA59E8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09" w:type="dxa"/>
            <w:gridSpan w:val="7"/>
            <w:shd w:val="clear" w:color="auto" w:fill="F2F2F2" w:themeFill="background1" w:themeFillShade="F2"/>
            <w:vAlign w:val="center"/>
          </w:tcPr>
          <w:p w14:paraId="7AD90C7E" w14:textId="77777777" w:rsidR="00393964" w:rsidRPr="00DA59E8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95" w:type="dxa"/>
            <w:vAlign w:val="center"/>
          </w:tcPr>
          <w:p w14:paraId="73C13A87" w14:textId="77777777" w:rsidR="00393964" w:rsidRPr="00DA59E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DA59E8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56EF3784" w14:textId="0F8EF02B" w:rsidR="00393964" w:rsidRPr="00DA59E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93964" w:rsidRPr="00DA59E8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DA59E8" w14:paraId="7E884962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34FFA1EB" w14:textId="77777777" w:rsidR="00453362" w:rsidRPr="00DA59E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DA59E8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2" w:type="dxa"/>
          </w:tcPr>
          <w:p w14:paraId="4DF384EB" w14:textId="00CF90EF" w:rsidR="00453362" w:rsidRPr="00DA59E8" w:rsidRDefault="0018789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4" w:type="dxa"/>
          </w:tcPr>
          <w:p w14:paraId="123F0F54" w14:textId="77777777" w:rsidR="00453362" w:rsidRPr="00DA59E8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4" w:type="dxa"/>
            <w:gridSpan w:val="2"/>
          </w:tcPr>
          <w:p w14:paraId="183BC8D5" w14:textId="20B6A9FE" w:rsidR="00453362" w:rsidRPr="00DA59E8" w:rsidRDefault="00BE781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3" w:type="dxa"/>
            <w:gridSpan w:val="3"/>
          </w:tcPr>
          <w:p w14:paraId="48945983" w14:textId="77777777" w:rsidR="00453362" w:rsidRPr="00DA59E8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73" w:type="dxa"/>
            <w:gridSpan w:val="2"/>
          </w:tcPr>
          <w:p w14:paraId="7E3AD106" w14:textId="5501507D" w:rsidR="00453362" w:rsidRPr="00DA59E8" w:rsidRDefault="0018789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14:paraId="3171DC99" w14:textId="77777777" w:rsidR="00453362" w:rsidRPr="00DA59E8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58" w:type="dxa"/>
            <w:gridSpan w:val="12"/>
            <w:shd w:val="clear" w:color="auto" w:fill="F2F2F2" w:themeFill="background1" w:themeFillShade="F2"/>
          </w:tcPr>
          <w:p w14:paraId="7828B883" w14:textId="77777777" w:rsidR="00453362" w:rsidRPr="00DA59E8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4D3B7F1D" w14:textId="18A53DF8" w:rsidR="00453362" w:rsidRPr="00DA59E8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DA59E8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DA59E8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DA59E8" w14:paraId="4E3A0DFF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4D742A3D" w14:textId="77777777" w:rsidR="00453362" w:rsidRPr="00DA59E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540" w:type="dxa"/>
            <w:gridSpan w:val="10"/>
            <w:vAlign w:val="center"/>
          </w:tcPr>
          <w:p w14:paraId="02172C41" w14:textId="350D1EAE" w:rsidR="006410E8" w:rsidRPr="00DA59E8" w:rsidRDefault="00187899" w:rsidP="006410E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>Dvorana 113</w:t>
            </w:r>
          </w:p>
          <w:p w14:paraId="7C8546E4" w14:textId="2B7D43BB" w:rsidR="00453362" w:rsidRPr="00DA59E8" w:rsidRDefault="00341EED" w:rsidP="006410E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UTO 16</w:t>
            </w:r>
            <w:r w:rsidR="00187899" w:rsidRPr="00DA59E8">
              <w:rPr>
                <w:rFonts w:ascii="Merriweather" w:hAnsi="Merriweather" w:cs="Times New Roman"/>
                <w:sz w:val="16"/>
                <w:szCs w:val="16"/>
              </w:rPr>
              <w:t>.00-</w:t>
            </w:r>
            <w:r>
              <w:rPr>
                <w:rFonts w:ascii="Merriweather" w:hAnsi="Merriweather" w:cs="Times New Roman"/>
                <w:sz w:val="16"/>
                <w:szCs w:val="16"/>
              </w:rPr>
              <w:t>20</w:t>
            </w:r>
            <w:r w:rsidR="006410E8" w:rsidRPr="00DA59E8">
              <w:rPr>
                <w:rFonts w:ascii="Merriweather" w:hAnsi="Merriweather" w:cs="Times New Roman"/>
                <w:sz w:val="16"/>
                <w:szCs w:val="16"/>
              </w:rPr>
              <w:t>.00 h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  <w:vAlign w:val="center"/>
          </w:tcPr>
          <w:p w14:paraId="1FFD85C7" w14:textId="77777777" w:rsidR="00453362" w:rsidRPr="00DA59E8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5C01DAF7" w14:textId="2731C86D" w:rsidR="00453362" w:rsidRPr="00DA59E8" w:rsidRDefault="006410E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DA59E8" w14:paraId="23641A23" w14:textId="77777777" w:rsidTr="006B61C3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2437C86E" w14:textId="77777777" w:rsidR="00453362" w:rsidRPr="00DA59E8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540" w:type="dxa"/>
            <w:gridSpan w:val="10"/>
          </w:tcPr>
          <w:p w14:paraId="0B10E0CE" w14:textId="7048C23F" w:rsidR="00453362" w:rsidRPr="00DA59E8" w:rsidRDefault="00341E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AC33FC" w:rsidRPr="00DA59E8">
              <w:rPr>
                <w:rFonts w:ascii="Merriweather" w:hAnsi="Merriweather" w:cs="Times New Roman"/>
                <w:sz w:val="16"/>
                <w:szCs w:val="16"/>
              </w:rPr>
              <w:t>.10.202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AC33FC" w:rsidRPr="00DA59E8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</w:tcPr>
          <w:p w14:paraId="218D0532" w14:textId="77777777" w:rsidR="00453362" w:rsidRPr="00DA59E8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3A0D1825" w14:textId="42A12CCB" w:rsidR="00453362" w:rsidRPr="00DA59E8" w:rsidRDefault="00AC33F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341EED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DA59E8">
              <w:rPr>
                <w:rFonts w:ascii="Merriweather" w:hAnsi="Merriweather" w:cs="Times New Roman"/>
                <w:sz w:val="16"/>
                <w:szCs w:val="16"/>
              </w:rPr>
              <w:t>.1.202</w:t>
            </w:r>
            <w:r w:rsidR="00341EED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DA59E8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DA59E8" w14:paraId="35D4E57E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524B6A42" w14:textId="77777777" w:rsidR="00453362" w:rsidRPr="00DA59E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99" w:type="dxa"/>
            <w:gridSpan w:val="27"/>
            <w:vAlign w:val="center"/>
          </w:tcPr>
          <w:p w14:paraId="32385300" w14:textId="3C0ACE37" w:rsidR="00453362" w:rsidRPr="00DA59E8" w:rsidRDefault="006410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>Upisan p</w:t>
            </w:r>
            <w:r w:rsidR="00187899" w:rsidRPr="00DA59E8">
              <w:rPr>
                <w:rFonts w:ascii="Merriweather" w:hAnsi="Merriweather" w:cs="Times New Roman"/>
                <w:sz w:val="16"/>
                <w:szCs w:val="16"/>
              </w:rPr>
              <w:t>reddiplomski studij povijesti umjetnosti</w:t>
            </w:r>
          </w:p>
        </w:tc>
      </w:tr>
      <w:tr w:rsidR="00453362" w:rsidRPr="00DA59E8" w14:paraId="74B4F696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4374D8FB" w14:textId="77777777" w:rsidR="00453362" w:rsidRPr="00DA59E8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DA59E8" w14:paraId="0F831B12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5D64DDCA" w14:textId="77777777" w:rsidR="00453362" w:rsidRPr="00DA59E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99" w:type="dxa"/>
            <w:gridSpan w:val="27"/>
            <w:vAlign w:val="center"/>
          </w:tcPr>
          <w:p w14:paraId="019D6D9F" w14:textId="293D6A43" w:rsidR="00453362" w:rsidRPr="00DA59E8" w:rsidRDefault="006B61C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Ana Mišković</w:t>
            </w:r>
          </w:p>
        </w:tc>
      </w:tr>
      <w:tr w:rsidR="00453362" w:rsidRPr="00DA59E8" w14:paraId="229717FF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33B23EC2" w14:textId="77777777" w:rsidR="00453362" w:rsidRPr="00DA59E8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581E66D0" w14:textId="3C68CAA6" w:rsidR="00453362" w:rsidRPr="00DA59E8" w:rsidRDefault="006B61C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amiskovi@unizd.hr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215B22F4" w14:textId="77777777" w:rsidR="00453362" w:rsidRPr="00DA59E8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40589D4B" w14:textId="0FFCE973" w:rsidR="00453362" w:rsidRPr="00DA59E8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DA59E8" w14:paraId="2A223622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19804BA2" w14:textId="77777777" w:rsidR="00453362" w:rsidRPr="00DA59E8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99" w:type="dxa"/>
            <w:gridSpan w:val="27"/>
            <w:vAlign w:val="center"/>
          </w:tcPr>
          <w:p w14:paraId="69E24FF4" w14:textId="3729C4D3" w:rsidR="00453362" w:rsidRPr="00DA59E8" w:rsidRDefault="006B61C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dr. sc. </w:t>
            </w:r>
            <w:r>
              <w:rPr>
                <w:rFonts w:ascii="Merriweather" w:hAnsi="Merriweather" w:cs="Times New Roman"/>
                <w:sz w:val="16"/>
                <w:szCs w:val="16"/>
              </w:rPr>
              <w:t>Lidija Butković Mićin, viša asistentica</w:t>
            </w:r>
          </w:p>
        </w:tc>
      </w:tr>
      <w:tr w:rsidR="006B61C3" w:rsidRPr="00DA59E8" w14:paraId="192A63E1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7D837ECE" w14:textId="77777777" w:rsidR="006B61C3" w:rsidRPr="00DA59E8" w:rsidRDefault="006B61C3" w:rsidP="006B61C3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38A4977A" w14:textId="0E157F03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lidijab@gmail.com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1D53F9DD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39A56542" w14:textId="74948E42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>SRI 1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Pr="00DA59E8">
              <w:rPr>
                <w:rFonts w:ascii="Merriweather" w:hAnsi="Merriweather" w:cs="Times New Roman"/>
                <w:sz w:val="16"/>
                <w:szCs w:val="16"/>
              </w:rPr>
              <w:t>.00-1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DA59E8">
              <w:rPr>
                <w:rFonts w:ascii="Merriweather" w:hAnsi="Merriweather" w:cs="Times New Roman"/>
                <w:sz w:val="16"/>
                <w:szCs w:val="16"/>
              </w:rPr>
              <w:t>.00 h</w:t>
            </w:r>
          </w:p>
        </w:tc>
      </w:tr>
      <w:tr w:rsidR="006B61C3" w:rsidRPr="00DA59E8" w14:paraId="3B51F014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0A466C7C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4ABC77EF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B61C3" w:rsidRPr="00DA59E8" w14:paraId="7FEB9F40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51740A74" w14:textId="77777777" w:rsidR="006B61C3" w:rsidRPr="00DA59E8" w:rsidRDefault="006B61C3" w:rsidP="006B61C3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6BC1E026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07C1141C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152D24DB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B61C3" w:rsidRPr="00DA59E8" w14:paraId="0582217B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0D495536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5156AEF1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B61C3" w:rsidRPr="00DA59E8" w14:paraId="3336B03E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6C4B1B8F" w14:textId="77777777" w:rsidR="006B61C3" w:rsidRPr="00DA59E8" w:rsidRDefault="006B61C3" w:rsidP="006B61C3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186D3FC7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32346E77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207E9569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B61C3" w:rsidRPr="00DA59E8" w14:paraId="1E250A93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5413FEDB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B61C3" w:rsidRPr="00DA59E8" w14:paraId="47096AF0" w14:textId="77777777" w:rsidTr="006B61C3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0E137C47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89" w:type="dxa"/>
            <w:gridSpan w:val="6"/>
            <w:vAlign w:val="center"/>
          </w:tcPr>
          <w:p w14:paraId="1C935F3A" w14:textId="1421DAFA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1" w:type="dxa"/>
            <w:gridSpan w:val="7"/>
            <w:vAlign w:val="center"/>
          </w:tcPr>
          <w:p w14:paraId="5CB8E6B8" w14:textId="04E9DC30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87" w:type="dxa"/>
            <w:gridSpan w:val="5"/>
            <w:vAlign w:val="center"/>
          </w:tcPr>
          <w:p w14:paraId="3C7818F4" w14:textId="09C4AFC8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89" w:type="dxa"/>
            <w:gridSpan w:val="6"/>
            <w:vAlign w:val="center"/>
          </w:tcPr>
          <w:p w14:paraId="666228FF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543" w:type="dxa"/>
            <w:gridSpan w:val="3"/>
            <w:vAlign w:val="center"/>
          </w:tcPr>
          <w:p w14:paraId="5ECBAF1A" w14:textId="41A3A28C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6B61C3" w:rsidRPr="00DA59E8" w14:paraId="5ABDB03E" w14:textId="77777777" w:rsidTr="006B61C3">
        <w:tc>
          <w:tcPr>
            <w:tcW w:w="1789" w:type="dxa"/>
            <w:vMerge/>
            <w:shd w:val="clear" w:color="auto" w:fill="F2F2F2" w:themeFill="background1" w:themeFillShade="F2"/>
          </w:tcPr>
          <w:p w14:paraId="4F5841A4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07DB2339" w14:textId="609DC695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1" w:type="dxa"/>
            <w:gridSpan w:val="7"/>
            <w:vAlign w:val="center"/>
          </w:tcPr>
          <w:p w14:paraId="7CE2F1BC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87" w:type="dxa"/>
            <w:gridSpan w:val="5"/>
            <w:vAlign w:val="center"/>
          </w:tcPr>
          <w:p w14:paraId="2960A3B2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89" w:type="dxa"/>
            <w:gridSpan w:val="6"/>
            <w:vAlign w:val="center"/>
          </w:tcPr>
          <w:p w14:paraId="7B74BACD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482F5431" w14:textId="33A467B0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6B61C3" w:rsidRPr="00DA59E8" w14:paraId="4A7F5934" w14:textId="77777777" w:rsidTr="006B61C3">
        <w:tc>
          <w:tcPr>
            <w:tcW w:w="3278" w:type="dxa"/>
            <w:gridSpan w:val="7"/>
            <w:shd w:val="clear" w:color="auto" w:fill="F2F2F2" w:themeFill="background1" w:themeFillShade="F2"/>
          </w:tcPr>
          <w:p w14:paraId="3A1F2F90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010" w:type="dxa"/>
            <w:gridSpan w:val="21"/>
            <w:vAlign w:val="center"/>
          </w:tcPr>
          <w:p w14:paraId="3970716B" w14:textId="5D6A3CEC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>Nakon ispunjenih uvjeta za potpis, student će:</w:t>
            </w:r>
            <w:r w:rsidRPr="00DA59E8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6120DA30" w14:textId="4E21C21A" w:rsidR="006B61C3" w:rsidRPr="00DA59E8" w:rsidRDefault="006B61C3" w:rsidP="006B61C3">
            <w:pPr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 xml:space="preserve"> steći temeljne činjenične i teorijske spoznaje o umjetnosti građenja prostora (arhitekture) uz kritičko razumijevanje važnih fenomena i poznavanje temeljnih djela.</w:t>
            </w:r>
          </w:p>
          <w:p w14:paraId="56B2290E" w14:textId="3E7DD7A9" w:rsidR="006B61C3" w:rsidRPr="00DA59E8" w:rsidRDefault="006B61C3" w:rsidP="006B61C3">
            <w:pPr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>Student će biti sposoban:</w:t>
            </w:r>
          </w:p>
          <w:p w14:paraId="445F4CDD" w14:textId="5B4C52C4" w:rsidR="006B61C3" w:rsidRPr="00DA59E8" w:rsidRDefault="006B61C3" w:rsidP="006B61C3">
            <w:pPr>
              <w:ind w:left="28"/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>- definirati i razlikovati ključne pojmove važne za razumijevanje povijesne arhitekture</w:t>
            </w:r>
          </w:p>
          <w:p w14:paraId="17148391" w14:textId="77777777" w:rsidR="006B61C3" w:rsidRPr="00DA59E8" w:rsidRDefault="006B61C3" w:rsidP="006B61C3">
            <w:pPr>
              <w:ind w:left="28"/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>- samostalno analizirati i kritički promatrati arhitektonska djela</w:t>
            </w:r>
          </w:p>
          <w:p w14:paraId="09081DE2" w14:textId="77777777" w:rsidR="006B61C3" w:rsidRPr="00DA59E8" w:rsidRDefault="006B61C3" w:rsidP="006B61C3">
            <w:pPr>
              <w:ind w:left="28"/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 xml:space="preserve">- opisati i interpretirati te povezivati u cjelinu zbivanja i procese u razvoju arhitekture </w:t>
            </w:r>
          </w:p>
          <w:p w14:paraId="176F102A" w14:textId="77777777" w:rsidR="006B61C3" w:rsidRPr="00DA59E8" w:rsidRDefault="006B61C3" w:rsidP="006B61C3">
            <w:pPr>
              <w:ind w:left="28"/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>- svladati stručno opisivanje i interpretiranje kao i povezivanje određenih fenomena i procesa u razvoju arhitekture</w:t>
            </w:r>
          </w:p>
          <w:p w14:paraId="1ACBE36B" w14:textId="77777777" w:rsidR="006B61C3" w:rsidRPr="00DA59E8" w:rsidRDefault="006B61C3" w:rsidP="006B61C3">
            <w:pPr>
              <w:ind w:left="28"/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>- prepoznati važnost povijesnog konteksta za nastanak arhitekture te razlikovati osnovne karakteristike zdanja nastalih u pojedinim stilskim razdobljima</w:t>
            </w:r>
          </w:p>
          <w:p w14:paraId="25A8D44F" w14:textId="4B7B8BBD" w:rsidR="006B61C3" w:rsidRPr="00DA59E8" w:rsidRDefault="006B61C3" w:rsidP="006B61C3">
            <w:pPr>
              <w:ind w:left="28"/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>- klasificirati građu u jasne opisne kategorije relevantne za povijest arhitekture</w:t>
            </w:r>
          </w:p>
          <w:p w14:paraId="59707683" w14:textId="243D8426" w:rsidR="006B61C3" w:rsidRPr="00341EED" w:rsidRDefault="006B61C3" w:rsidP="006B61C3">
            <w:pPr>
              <w:ind w:left="28"/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>- samostalno pripremiti i prezentirati temu na usmeni način prema</w:t>
            </w:r>
            <w:r>
              <w:rPr>
                <w:rFonts w:ascii="Merriweather" w:hAnsi="Merriweather" w:cs="Calibri"/>
                <w:noProof/>
                <w:sz w:val="16"/>
                <w:szCs w:val="16"/>
              </w:rPr>
              <w:t xml:space="preserve"> </w:t>
            </w: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>unaprijed određenoj metodologiji</w:t>
            </w:r>
          </w:p>
        </w:tc>
      </w:tr>
      <w:tr w:rsidR="006B61C3" w:rsidRPr="00DA59E8" w14:paraId="1C4CFA25" w14:textId="77777777" w:rsidTr="006B61C3">
        <w:tc>
          <w:tcPr>
            <w:tcW w:w="3278" w:type="dxa"/>
            <w:gridSpan w:val="7"/>
            <w:shd w:val="clear" w:color="auto" w:fill="F2F2F2" w:themeFill="background1" w:themeFillShade="F2"/>
          </w:tcPr>
          <w:p w14:paraId="128E0306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6010" w:type="dxa"/>
            <w:gridSpan w:val="21"/>
            <w:vAlign w:val="center"/>
          </w:tcPr>
          <w:p w14:paraId="6D16BC91" w14:textId="272C006D" w:rsidR="006B61C3" w:rsidRPr="00DA59E8" w:rsidRDefault="006B61C3" w:rsidP="006B61C3">
            <w:pPr>
              <w:rPr>
                <w:rFonts w:ascii="Merriweather" w:hAnsi="Merriweather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Na višoj razini sve navedeno primjenjivo je unutar ostalih kolegija, posebno u tumačenju i prepoznavanju komponenti arhitekture kroz stilska razdoblja. Student će biti u mogućnosti </w:t>
            </w:r>
            <w:r w:rsidRPr="00DA59E8">
              <w:rPr>
                <w:rFonts w:ascii="Merriweather" w:hAnsi="Merriweather"/>
                <w:sz w:val="16"/>
                <w:szCs w:val="16"/>
              </w:rPr>
              <w:t xml:space="preserve">opisati, povezati i interpretirati transformacijske procese arhitektonskih zdanja kako ih objašnjava tradicionalna </w:t>
            </w:r>
            <w:proofErr w:type="spellStart"/>
            <w:r w:rsidRPr="00DA59E8">
              <w:rPr>
                <w:rFonts w:ascii="Merriweather" w:hAnsi="Merriweather"/>
                <w:sz w:val="16"/>
                <w:szCs w:val="16"/>
              </w:rPr>
              <w:t>povijesnoumjetnička</w:t>
            </w:r>
            <w:proofErr w:type="spellEnd"/>
            <w:r w:rsidRPr="00DA59E8">
              <w:rPr>
                <w:rFonts w:ascii="Merriweather" w:hAnsi="Merriweather"/>
                <w:sz w:val="16"/>
                <w:szCs w:val="16"/>
              </w:rPr>
              <w:t xml:space="preserve"> naracija</w:t>
            </w:r>
            <w:r>
              <w:rPr>
                <w:rFonts w:ascii="Merriweather" w:hAnsi="Merriweather"/>
                <w:sz w:val="16"/>
                <w:szCs w:val="16"/>
              </w:rPr>
              <w:t>. M</w:t>
            </w:r>
            <w:r w:rsidRPr="00DA59E8">
              <w:rPr>
                <w:rFonts w:ascii="Merriweather" w:hAnsi="Merriweather"/>
                <w:sz w:val="16"/>
                <w:szCs w:val="16"/>
              </w:rPr>
              <w:t xml:space="preserve">oći </w:t>
            </w:r>
            <w:r>
              <w:rPr>
                <w:rFonts w:ascii="Merriweather" w:hAnsi="Merriweather"/>
                <w:sz w:val="16"/>
                <w:szCs w:val="16"/>
              </w:rPr>
              <w:t xml:space="preserve">će </w:t>
            </w:r>
            <w:r w:rsidRPr="00DA59E8">
              <w:rPr>
                <w:rFonts w:ascii="Merriweather" w:hAnsi="Merriweather"/>
                <w:sz w:val="16"/>
                <w:szCs w:val="16"/>
              </w:rPr>
              <w:t xml:space="preserve">prepoznati važnost povijesnog konteksta pojedinih likovnih i </w:t>
            </w:r>
            <w:r w:rsidRPr="00DA59E8">
              <w:rPr>
                <w:rFonts w:ascii="Merriweather" w:hAnsi="Merriweather"/>
                <w:sz w:val="16"/>
                <w:szCs w:val="16"/>
              </w:rPr>
              <w:lastRenderedPageBreak/>
              <w:t xml:space="preserve">arhitektonskih fenomena, te ustanoviti, razlikovati i usporediti osnovne karakteristike pojedinih stilskih razdoblja. Student će biti sposoban primijeniti osnovne </w:t>
            </w:r>
            <w:proofErr w:type="spellStart"/>
            <w:r w:rsidRPr="00DA59E8">
              <w:rPr>
                <w:rFonts w:ascii="Merriweather" w:hAnsi="Merriweather"/>
                <w:sz w:val="16"/>
                <w:szCs w:val="16"/>
              </w:rPr>
              <w:t>povijesnoumjetničke</w:t>
            </w:r>
            <w:proofErr w:type="spellEnd"/>
            <w:r w:rsidRPr="00DA59E8">
              <w:rPr>
                <w:rFonts w:ascii="Merriweather" w:hAnsi="Merriweather"/>
                <w:sz w:val="16"/>
                <w:szCs w:val="16"/>
              </w:rPr>
              <w:t xml:space="preserve"> metodološke zakonitosti u interpretaciji i prezentaciji jednostavnijih </w:t>
            </w:r>
            <w:proofErr w:type="spellStart"/>
            <w:r w:rsidRPr="00DA59E8">
              <w:rPr>
                <w:rFonts w:ascii="Merriweather" w:hAnsi="Merriweather"/>
                <w:sz w:val="16"/>
                <w:szCs w:val="16"/>
              </w:rPr>
              <w:t>povijesnoumjetničkih</w:t>
            </w:r>
            <w:proofErr w:type="spellEnd"/>
            <w:r w:rsidRPr="00DA59E8">
              <w:rPr>
                <w:rFonts w:ascii="Merriweather" w:hAnsi="Merriweather"/>
                <w:sz w:val="16"/>
                <w:szCs w:val="16"/>
              </w:rPr>
              <w:t xml:space="preserve"> problema </w:t>
            </w:r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iz čega će </w:t>
            </w:r>
            <w:r w:rsidRPr="00DA59E8">
              <w:rPr>
                <w:rFonts w:ascii="Merriweather" w:hAnsi="Merriweather"/>
                <w:sz w:val="16"/>
                <w:szCs w:val="16"/>
              </w:rPr>
              <w:t xml:space="preserve">jasno izvesti zaključke za klasifikaciju građe. </w:t>
            </w:r>
          </w:p>
        </w:tc>
      </w:tr>
      <w:tr w:rsidR="006B61C3" w:rsidRPr="00DA59E8" w14:paraId="38829EFE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50250D78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B61C3" w:rsidRPr="00DA59E8" w14:paraId="11A54564" w14:textId="77777777" w:rsidTr="006B61C3">
        <w:trPr>
          <w:trHeight w:val="190"/>
        </w:trPr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061A4D6B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89" w:type="dxa"/>
            <w:gridSpan w:val="6"/>
            <w:vAlign w:val="center"/>
          </w:tcPr>
          <w:p w14:paraId="3A18BEDD" w14:textId="36AC37B4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1" w:type="dxa"/>
            <w:gridSpan w:val="7"/>
            <w:vAlign w:val="center"/>
          </w:tcPr>
          <w:p w14:paraId="625EF894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87" w:type="dxa"/>
            <w:gridSpan w:val="5"/>
            <w:vAlign w:val="center"/>
          </w:tcPr>
          <w:p w14:paraId="70732CDD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89" w:type="dxa"/>
            <w:gridSpan w:val="6"/>
            <w:vAlign w:val="center"/>
          </w:tcPr>
          <w:p w14:paraId="0D8D1818" w14:textId="600C8EE1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78E2034B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6B61C3" w:rsidRPr="00DA59E8" w14:paraId="0036A2E3" w14:textId="77777777" w:rsidTr="006B61C3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0C63CB99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6B865DE2" w14:textId="5581565D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1" w:type="dxa"/>
            <w:gridSpan w:val="7"/>
            <w:vAlign w:val="center"/>
          </w:tcPr>
          <w:p w14:paraId="1CCC94E0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87" w:type="dxa"/>
            <w:gridSpan w:val="5"/>
            <w:vAlign w:val="center"/>
          </w:tcPr>
          <w:p w14:paraId="6F780CE5" w14:textId="5429A6A0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89" w:type="dxa"/>
            <w:gridSpan w:val="6"/>
            <w:vAlign w:val="center"/>
          </w:tcPr>
          <w:p w14:paraId="6B939DE2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191CC823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6B61C3" w:rsidRPr="00DA59E8" w14:paraId="74881FE0" w14:textId="77777777" w:rsidTr="006B61C3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4B138C78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4800C5AA" w14:textId="7B33304D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1" w:type="dxa"/>
            <w:gridSpan w:val="7"/>
            <w:vAlign w:val="center"/>
          </w:tcPr>
          <w:p w14:paraId="60ABEC76" w14:textId="40DE50B4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87" w:type="dxa"/>
            <w:gridSpan w:val="5"/>
            <w:vAlign w:val="center"/>
          </w:tcPr>
          <w:p w14:paraId="3E9B65AD" w14:textId="404AC3C1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32" w:type="dxa"/>
            <w:gridSpan w:val="9"/>
            <w:vAlign w:val="center"/>
          </w:tcPr>
          <w:p w14:paraId="6A986C85" w14:textId="6EAFAFC8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ostalo: testovi</w:t>
            </w:r>
          </w:p>
        </w:tc>
      </w:tr>
      <w:tr w:rsidR="006B61C3" w:rsidRPr="00DA59E8" w14:paraId="6A8311E2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253BD45B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99" w:type="dxa"/>
            <w:gridSpan w:val="27"/>
            <w:vAlign w:val="center"/>
          </w:tcPr>
          <w:p w14:paraId="71587B67" w14:textId="24308000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A59E8">
              <w:rPr>
                <w:rFonts w:ascii="Merriweather" w:hAnsi="Merriweather"/>
                <w:noProof/>
                <w:sz w:val="16"/>
                <w:szCs w:val="16"/>
              </w:rPr>
              <w:t>Studenti su dužni odslušati najmanje 70% predavanja, te sudjelovati u radu i diskusiji na najmanje 70% seminara. Studenti su dužni usmeno prezentirati seminarski rad.</w:t>
            </w:r>
          </w:p>
        </w:tc>
      </w:tr>
      <w:tr w:rsidR="006B61C3" w:rsidRPr="00DA59E8" w14:paraId="5147F5E4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4151F86C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890" w:type="dxa"/>
            <w:gridSpan w:val="12"/>
          </w:tcPr>
          <w:p w14:paraId="00B4219A" w14:textId="6F36B21E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9" w:type="dxa"/>
            <w:gridSpan w:val="9"/>
          </w:tcPr>
          <w:p w14:paraId="1979C6AC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30" w:type="dxa"/>
            <w:gridSpan w:val="6"/>
          </w:tcPr>
          <w:p w14:paraId="6FC77106" w14:textId="2FCE76CC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6B61C3" w:rsidRPr="00DA59E8" w14:paraId="45A34327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50B1140D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890" w:type="dxa"/>
            <w:gridSpan w:val="12"/>
            <w:vAlign w:val="center"/>
          </w:tcPr>
          <w:p w14:paraId="345B29F7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9" w:type="dxa"/>
            <w:gridSpan w:val="9"/>
            <w:vAlign w:val="center"/>
          </w:tcPr>
          <w:p w14:paraId="2865AA25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6"/>
            <w:vAlign w:val="center"/>
          </w:tcPr>
          <w:p w14:paraId="5F3D16DF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B61C3" w:rsidRPr="00DA59E8" w14:paraId="1D771AAC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2353F65A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99" w:type="dxa"/>
            <w:gridSpan w:val="27"/>
            <w:vAlign w:val="center"/>
          </w:tcPr>
          <w:p w14:paraId="68F7E392" w14:textId="5E1918CF" w:rsidR="006B61C3" w:rsidRPr="00DA59E8" w:rsidRDefault="006B61C3" w:rsidP="006B61C3">
            <w:pPr>
              <w:autoSpaceDE w:val="0"/>
              <w:autoSpaceDN w:val="0"/>
              <w:adjustRightInd w:val="0"/>
              <w:rPr>
                <w:rFonts w:ascii="Merriweather" w:hAnsi="Merriweather" w:cs="Calibri"/>
                <w:b/>
                <w:noProof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>Kolegij Osnove arhitekture bavi se temeljnim oblicima, građom i namjenom građevina iz prošlosti</w:t>
            </w:r>
            <w:r w:rsidRPr="00DA59E8">
              <w:rPr>
                <w:rFonts w:ascii="Merriweather" w:hAnsi="Merriweather" w:cs="Calibri"/>
                <w:b/>
                <w:noProof/>
                <w:sz w:val="16"/>
                <w:szCs w:val="16"/>
              </w:rPr>
              <w:t xml:space="preserve"> </w:t>
            </w: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>i njihovim ulogama u prostoru, urbanizmu i društvu.</w:t>
            </w:r>
            <w:r w:rsidRPr="00DA59E8">
              <w:rPr>
                <w:rFonts w:ascii="Merriweather" w:hAnsi="Merriweather" w:cs="Calibri"/>
                <w:b/>
                <w:noProof/>
                <w:sz w:val="16"/>
                <w:szCs w:val="16"/>
              </w:rPr>
              <w:t xml:space="preserve"> </w:t>
            </w: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>Kolegij tumači povijesnu arhitekturu u cjelini i u njezinim zasebnim pojavnim oblicima umjetnost oblikovanja prostora. Analiza zgrade kao metoda proučavanja njezine arhitekture nije ograničena na oblik već je proširena na građu i namjenu kao važne čimbenike umjetnosti oblikovanja prostora</w:t>
            </w:r>
            <w:r>
              <w:rPr>
                <w:rFonts w:ascii="Merriweather" w:hAnsi="Merriweather" w:cs="Calibri"/>
                <w:noProof/>
                <w:sz w:val="16"/>
                <w:szCs w:val="16"/>
              </w:rPr>
              <w:t>.</w:t>
            </w:r>
          </w:p>
          <w:p w14:paraId="671EA399" w14:textId="50A67C2E" w:rsidR="006B61C3" w:rsidRPr="00DA59E8" w:rsidRDefault="006B61C3" w:rsidP="006B61C3">
            <w:pPr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noProof/>
                <w:sz w:val="16"/>
                <w:szCs w:val="16"/>
                <w:u w:val="single"/>
              </w:rPr>
              <w:t>Metodske jedinice proučavanja su</w:t>
            </w: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>: prostor, grad, trg, ulica, kuća, vijećnica, hram, crkva itd., te red (dorski, jonski, koriniski) ili stil (bizantski, romanički ili barokni npr.). Jedinice se naliziraju u slijedu povijesti i civilizacija. Široki okvir i temelj navedenim temama čini mediteranski kulturni krug u starome vijeku. Težište građe odnosi se na razdoblje od uspostave Rimskoga carstva do pada Mletačke republike; dakle, na mjene i međusobne veze, utjecaja epoha i stilova s kojima je nastala i glavnina povijesnoga naslijeđa u hrvatskoj baštini</w:t>
            </w:r>
            <w:r w:rsidRPr="00DA59E8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</w:tc>
      </w:tr>
      <w:tr w:rsidR="006B61C3" w:rsidRPr="00DA59E8" w14:paraId="208E5165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7D46F626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99" w:type="dxa"/>
            <w:gridSpan w:val="27"/>
          </w:tcPr>
          <w:p w14:paraId="7FED2938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59E8">
              <w:rPr>
                <w:rFonts w:ascii="Merriweather" w:eastAsia="MS Gothic" w:hAnsi="Merriweather" w:cs="Times New Roman"/>
                <w:sz w:val="16"/>
                <w:szCs w:val="16"/>
              </w:rPr>
              <w:t>PREDAVANJA:</w:t>
            </w:r>
          </w:p>
          <w:p w14:paraId="43FE0EEB" w14:textId="048F37B3" w:rsidR="006B61C3" w:rsidRPr="00DA59E8" w:rsidRDefault="006B61C3" w:rsidP="006B61C3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Uvod: arhitektura, arhitekt, teorija arhitekture, stabilitet i oblik</w:t>
            </w:r>
          </w:p>
          <w:p w14:paraId="0A7DCDAB" w14:textId="77777777" w:rsidR="006B61C3" w:rsidRPr="00DA59E8" w:rsidRDefault="006B61C3" w:rsidP="006B61C3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Konstruktivni elementi I.: zid, tehnike zidanja</w:t>
            </w:r>
          </w:p>
          <w:p w14:paraId="6B0633D3" w14:textId="693C07B2" w:rsidR="006B61C3" w:rsidRPr="00DA59E8" w:rsidRDefault="006B61C3" w:rsidP="006B61C3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Konstruktivni elementi II.: nosači (stup, stu</w:t>
            </w:r>
            <w:r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pac</w:t>
            </w:r>
            <w:r w:rsidRPr="00DA59E8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, svod, krov, kupola, stubišta)</w:t>
            </w:r>
          </w:p>
          <w:p w14:paraId="6C2CDA2F" w14:textId="2E97AEC4" w:rsidR="006B61C3" w:rsidRPr="00DA59E8" w:rsidRDefault="006B61C3" w:rsidP="006B61C3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DA59E8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Konstruktivni elementi – terenska nastava</w:t>
            </w:r>
          </w:p>
          <w:p w14:paraId="010F1E99" w14:textId="0583474C" w:rsidR="006B61C3" w:rsidRPr="00DA59E8" w:rsidRDefault="006B61C3" w:rsidP="006B61C3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 xml:space="preserve">Stilsko razdoblje:  </w:t>
            </w:r>
            <w:proofErr w:type="spellStart"/>
            <w:r w:rsidRPr="00DA59E8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Mezopotamjia</w:t>
            </w:r>
            <w:proofErr w:type="spellEnd"/>
            <w:r w:rsidRPr="00DA59E8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, Egipat (sakralna i svjetovna arhitektura) - analiza</w:t>
            </w:r>
            <w:r w:rsidRPr="00DA59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18C7548C" w14:textId="77777777" w:rsidR="006B61C3" w:rsidRPr="00DA59E8" w:rsidRDefault="006B61C3" w:rsidP="006B61C3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i/>
                <w:sz w:val="16"/>
                <w:szCs w:val="16"/>
              </w:rPr>
              <w:t>Stilsko razdoblje: Egeja, redovi u arhitekturi</w:t>
            </w:r>
          </w:p>
          <w:p w14:paraId="0DEF7DA6" w14:textId="77777777" w:rsidR="006B61C3" w:rsidRPr="00DA59E8" w:rsidRDefault="006B61C3" w:rsidP="006B61C3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i/>
                <w:sz w:val="16"/>
                <w:szCs w:val="16"/>
              </w:rPr>
              <w:t>Stilsko razdoblje: Egeja, redovi u arhitekturi</w:t>
            </w:r>
          </w:p>
          <w:p w14:paraId="64478F7D" w14:textId="77777777" w:rsidR="006B61C3" w:rsidRPr="00DA59E8" w:rsidRDefault="006B61C3" w:rsidP="006B61C3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DA59E8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Stilsko razdoblje: Rim (urbanizam)</w:t>
            </w:r>
          </w:p>
          <w:p w14:paraId="71AE7BA5" w14:textId="77777777" w:rsidR="006B61C3" w:rsidRPr="00DA59E8" w:rsidRDefault="006B61C3" w:rsidP="006B61C3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i/>
                <w:sz w:val="16"/>
                <w:szCs w:val="16"/>
              </w:rPr>
              <w:t>Stilsko razdoblje: Rim (</w:t>
            </w:r>
            <w:r w:rsidRPr="00DA59E8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sakralna i svjetovna arhitektura</w:t>
            </w:r>
            <w:r w:rsidRPr="00DA59E8">
              <w:rPr>
                <w:rFonts w:ascii="Merriweather" w:hAnsi="Merriweather" w:cs="Calibri"/>
                <w:i/>
                <w:sz w:val="16"/>
                <w:szCs w:val="16"/>
              </w:rPr>
              <w:t>)- analiza</w:t>
            </w:r>
          </w:p>
          <w:p w14:paraId="1C91A01A" w14:textId="3996F7E3" w:rsidR="006B61C3" w:rsidRPr="00DA59E8" w:rsidRDefault="006B61C3" w:rsidP="006B61C3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Stilsko razdoblje: ranokršćanska i ranosrednjovjekovna arhitektura – analiza</w:t>
            </w:r>
          </w:p>
          <w:p w14:paraId="2DB7E05F" w14:textId="3DEE9823" w:rsidR="006B61C3" w:rsidRPr="00DA59E8" w:rsidRDefault="006B61C3" w:rsidP="006B61C3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Stilsko razdoblje: romanička arhitektura (urbanizam, sakralna i svjetovna arhitektura) – analiza</w:t>
            </w:r>
          </w:p>
          <w:p w14:paraId="20CAE86C" w14:textId="3F0031F3" w:rsidR="006B61C3" w:rsidRPr="00DA59E8" w:rsidRDefault="006B61C3" w:rsidP="006B61C3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Stilsko razdoblje: gotička arhitektura (sakralna i svjetovna arhitektura) – analiza</w:t>
            </w:r>
          </w:p>
          <w:p w14:paraId="64EAEEC6" w14:textId="0CFADE69" w:rsidR="006B61C3" w:rsidRPr="00DA59E8" w:rsidRDefault="006B61C3" w:rsidP="006B61C3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 xml:space="preserve">Stilsko razdoblje: </w:t>
            </w:r>
            <w:proofErr w:type="spellStart"/>
            <w:r w:rsidRPr="00DA59E8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ranonovovjekovna</w:t>
            </w:r>
            <w:proofErr w:type="spellEnd"/>
            <w:r w:rsidRPr="00DA59E8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 xml:space="preserve"> arhitektura (urbanizam, sakralna i svjetovna arhitektura) – analiza</w:t>
            </w:r>
          </w:p>
          <w:p w14:paraId="74634D03" w14:textId="36B1DE0F" w:rsidR="006B61C3" w:rsidRPr="00DA59E8" w:rsidRDefault="006B61C3" w:rsidP="006B61C3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Stilsko razdoblje: 19. i 20. st. (klasicizam, novi materijali i tehnike)</w:t>
            </w:r>
            <w:r w:rsidRPr="00DA59E8">
              <w:rPr>
                <w:rFonts w:ascii="Merriweather" w:eastAsia="MS Gothic" w:hAnsi="Merriweather" w:cs="Times New Roman"/>
                <w:sz w:val="16"/>
                <w:szCs w:val="16"/>
              </w:rPr>
              <w:tab/>
            </w:r>
          </w:p>
        </w:tc>
      </w:tr>
      <w:tr w:rsidR="006B61C3" w:rsidRPr="00DA59E8" w14:paraId="635C7845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0ED55959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99" w:type="dxa"/>
            <w:gridSpan w:val="27"/>
            <w:vAlign w:val="center"/>
          </w:tcPr>
          <w:p w14:paraId="29D17404" w14:textId="44F8C8B1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 xml:space="preserve">W. Müller / G. Vogel, </w:t>
            </w:r>
            <w:r w:rsidRPr="00DA59E8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Atlas arhitekture 1</w:t>
            </w: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Zagreb, 1999., (str 11-272); W. Müller / G. Vogel, </w:t>
            </w:r>
            <w:r w:rsidRPr="00DA59E8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Atlas arhitekture 2</w:t>
            </w: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Zagreb 2000., (str. 297-564); M. Vitruvius Pollio, </w:t>
            </w:r>
            <w:r w:rsidRPr="00DA59E8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Deset knjiga o arhitekturi</w:t>
            </w: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Zagreb 1999., (poglavlja od I-VII);  J. Summerson, </w:t>
            </w:r>
            <w:r w:rsidRPr="00DA59E8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Klasični jezik arhitekture</w:t>
            </w: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>, Zagreb 1998., (str. 7-139</w:t>
            </w:r>
            <w:r>
              <w:rPr>
                <w:rFonts w:ascii="Merriweather" w:hAnsi="Merriweather" w:cs="Calibri"/>
                <w:noProof/>
                <w:sz w:val="16"/>
                <w:szCs w:val="16"/>
              </w:rPr>
              <w:t>).</w:t>
            </w:r>
          </w:p>
        </w:tc>
      </w:tr>
      <w:tr w:rsidR="006B61C3" w:rsidRPr="00DA59E8" w14:paraId="7E961431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6D7EDF75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99" w:type="dxa"/>
            <w:gridSpan w:val="27"/>
            <w:vAlign w:val="center"/>
          </w:tcPr>
          <w:p w14:paraId="374F7707" w14:textId="3306CDE6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 xml:space="preserve">B. Milić, </w:t>
            </w:r>
            <w:r w:rsidRPr="00DA59E8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Razvoj grada kroz stoljeća I</w:t>
            </w: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Zagreb 1994.; B. Milić, </w:t>
            </w:r>
            <w:r w:rsidRPr="00DA59E8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Razvoj grada kroz stoljeća II</w:t>
            </w: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Zagreb 1995.; B. Milić, </w:t>
            </w:r>
            <w:r w:rsidRPr="00DA59E8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Razvoj grada kroz stoljeća III</w:t>
            </w: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Zagreb 2001.; J. J. Norwich, </w:t>
            </w:r>
            <w:r w:rsidRPr="00DA59E8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Velike arhitekture svijeta</w:t>
            </w: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Split, 2005.; N. Pevsner, </w:t>
            </w:r>
            <w:r w:rsidRPr="00DA59E8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An Outline of European Architecture</w:t>
            </w: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Penguin, 1990.; L. Mumford, </w:t>
            </w:r>
            <w:r w:rsidRPr="00DA59E8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Grad u historiji</w:t>
            </w: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Zagreb, 1988.; B. Zevi, </w:t>
            </w:r>
            <w:r w:rsidRPr="00DA59E8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Znati gledati arhitekturu</w:t>
            </w: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Zagreb 2000., str. (7-141); D. von Winterfeld, Utvrđivanje predmeta u arhitekturi, u: </w:t>
            </w:r>
            <w:r w:rsidRPr="00DA59E8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Uvod u povijest umjetnosti</w:t>
            </w:r>
            <w:r w:rsidRPr="00DA59E8">
              <w:rPr>
                <w:rFonts w:ascii="Merriweather" w:hAnsi="Merriweather" w:cs="Calibri"/>
                <w:noProof/>
                <w:sz w:val="16"/>
                <w:szCs w:val="16"/>
              </w:rPr>
              <w:t>, 2007., (str. 85-112).</w:t>
            </w:r>
          </w:p>
        </w:tc>
      </w:tr>
      <w:tr w:rsidR="006B61C3" w:rsidRPr="00DA59E8" w14:paraId="70850E91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5E919509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99" w:type="dxa"/>
            <w:gridSpan w:val="27"/>
            <w:vAlign w:val="center"/>
          </w:tcPr>
          <w:p w14:paraId="120F5037" w14:textId="00F9C778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8" w:history="1">
              <w:r w:rsidRPr="00DA59E8">
                <w:rPr>
                  <w:rStyle w:val="Hyperlink"/>
                  <w:rFonts w:ascii="Merriweather" w:hAnsi="Merriweather"/>
                  <w:sz w:val="16"/>
                  <w:szCs w:val="16"/>
                </w:rPr>
                <w:t>www.greatbuildings.com</w:t>
              </w:r>
            </w:hyperlink>
            <w:r w:rsidRPr="00DA59E8">
              <w:rPr>
                <w:rFonts w:ascii="Merriweather" w:hAnsi="Merriweather"/>
                <w:sz w:val="16"/>
                <w:szCs w:val="16"/>
              </w:rPr>
              <w:t xml:space="preserve">, </w:t>
            </w:r>
            <w:hyperlink r:id="rId9" w:history="1">
              <w:r w:rsidRPr="00DA59E8">
                <w:rPr>
                  <w:rStyle w:val="Hyperlink"/>
                  <w:rFonts w:ascii="Merriweather" w:hAnsi="Merriweather"/>
                  <w:sz w:val="16"/>
                  <w:szCs w:val="16"/>
                </w:rPr>
                <w:t>www.portal:architecture.com</w:t>
              </w:r>
            </w:hyperlink>
          </w:p>
        </w:tc>
      </w:tr>
      <w:tr w:rsidR="006B61C3" w:rsidRPr="00DA59E8" w14:paraId="57DA35AE" w14:textId="77777777" w:rsidTr="006B61C3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3B8CC08B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78" w:type="dxa"/>
            <w:gridSpan w:val="23"/>
          </w:tcPr>
          <w:p w14:paraId="21C375AE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62865E3D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6B61C3" w:rsidRPr="00DA59E8" w14:paraId="363F40B6" w14:textId="77777777" w:rsidTr="006B61C3">
        <w:tc>
          <w:tcPr>
            <w:tcW w:w="1789" w:type="dxa"/>
            <w:vMerge/>
            <w:shd w:val="clear" w:color="auto" w:fill="F2F2F2" w:themeFill="background1" w:themeFillShade="F2"/>
          </w:tcPr>
          <w:p w14:paraId="694A4726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61986F12" w14:textId="6AE86E15" w:rsidR="006B61C3" w:rsidRPr="00DA59E8" w:rsidRDefault="006B61C3" w:rsidP="006B61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2FE9DF74" w14:textId="77777777" w:rsidR="006B61C3" w:rsidRPr="00DA59E8" w:rsidRDefault="006B61C3" w:rsidP="006B61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51" w:type="dxa"/>
            <w:gridSpan w:val="7"/>
            <w:vAlign w:val="center"/>
          </w:tcPr>
          <w:p w14:paraId="3A2E3DC8" w14:textId="70CFB7D4" w:rsidR="006B61C3" w:rsidRPr="00DA59E8" w:rsidRDefault="006B61C3" w:rsidP="006B61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1B04F6ED" w14:textId="77777777" w:rsidR="006B61C3" w:rsidRPr="00DA59E8" w:rsidRDefault="006B61C3" w:rsidP="006B61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01" w:type="dxa"/>
            <w:gridSpan w:val="7"/>
            <w:vAlign w:val="center"/>
          </w:tcPr>
          <w:p w14:paraId="2881B0B3" w14:textId="718D0880" w:rsidR="006B61C3" w:rsidRPr="00DA59E8" w:rsidRDefault="006B61C3" w:rsidP="006B61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12648B43" w14:textId="77777777" w:rsidR="006B61C3" w:rsidRPr="00DA59E8" w:rsidRDefault="006B61C3" w:rsidP="006B61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6B61C3" w:rsidRPr="00DA59E8" w14:paraId="1CD693C0" w14:textId="77777777" w:rsidTr="006B61C3">
        <w:tc>
          <w:tcPr>
            <w:tcW w:w="1789" w:type="dxa"/>
            <w:vMerge/>
            <w:shd w:val="clear" w:color="auto" w:fill="F2F2F2" w:themeFill="background1" w:themeFillShade="F2"/>
          </w:tcPr>
          <w:p w14:paraId="33A268E0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789E1C48" w14:textId="77777777" w:rsidR="006B61C3" w:rsidRPr="00DA59E8" w:rsidRDefault="006B61C3" w:rsidP="006B61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samo </w:t>
            </w: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kolokvij/zadaće</w:t>
            </w:r>
          </w:p>
        </w:tc>
        <w:tc>
          <w:tcPr>
            <w:tcW w:w="1398" w:type="dxa"/>
            <w:gridSpan w:val="6"/>
            <w:vAlign w:val="center"/>
          </w:tcPr>
          <w:p w14:paraId="64AFFE39" w14:textId="66530830" w:rsidR="006B61C3" w:rsidRPr="00DA59E8" w:rsidRDefault="006B61C3" w:rsidP="006B61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kolokvij / </w:t>
            </w: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zadaća i završni ispit</w:t>
            </w:r>
          </w:p>
        </w:tc>
        <w:tc>
          <w:tcPr>
            <w:tcW w:w="1160" w:type="dxa"/>
            <w:gridSpan w:val="5"/>
            <w:vAlign w:val="center"/>
          </w:tcPr>
          <w:p w14:paraId="4EB8CB84" w14:textId="08CFA8D0" w:rsidR="006B61C3" w:rsidRPr="00DA59E8" w:rsidRDefault="006B61C3" w:rsidP="006B61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seminarski</w:t>
            </w:r>
          </w:p>
          <w:p w14:paraId="226455A1" w14:textId="77777777" w:rsidR="006B61C3" w:rsidRPr="00DA59E8" w:rsidRDefault="006B61C3" w:rsidP="006B61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25" w:type="dxa"/>
            <w:gridSpan w:val="4"/>
            <w:vAlign w:val="center"/>
          </w:tcPr>
          <w:p w14:paraId="7E35D0AF" w14:textId="77777777" w:rsidR="006B61C3" w:rsidRPr="00DA59E8" w:rsidRDefault="006B61C3" w:rsidP="006B61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seminarski</w:t>
            </w:r>
          </w:p>
          <w:p w14:paraId="7193C98D" w14:textId="77777777" w:rsidR="006B61C3" w:rsidRPr="00DA59E8" w:rsidRDefault="006B61C3" w:rsidP="006B61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1" w:type="dxa"/>
            <w:gridSpan w:val="5"/>
            <w:vAlign w:val="center"/>
          </w:tcPr>
          <w:p w14:paraId="4DA8095A" w14:textId="7C413E45" w:rsidR="006B61C3" w:rsidRPr="00DA59E8" w:rsidRDefault="006B61C3" w:rsidP="006B61C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praktični </w:t>
            </w: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rad</w:t>
            </w:r>
          </w:p>
        </w:tc>
        <w:tc>
          <w:tcPr>
            <w:tcW w:w="1176" w:type="dxa"/>
            <w:gridSpan w:val="2"/>
            <w:vAlign w:val="center"/>
          </w:tcPr>
          <w:p w14:paraId="427BA786" w14:textId="77777777" w:rsidR="006B61C3" w:rsidRPr="00DA59E8" w:rsidRDefault="006B61C3" w:rsidP="006B61C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drugi </w:t>
            </w:r>
            <w:r w:rsidRPr="00DA59E8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oblici</w:t>
            </w:r>
          </w:p>
        </w:tc>
      </w:tr>
      <w:tr w:rsidR="006B61C3" w:rsidRPr="00DA59E8" w14:paraId="54F90395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6EEEFEF2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formiranja završne ocjene (%)</w:t>
            </w:r>
          </w:p>
        </w:tc>
        <w:tc>
          <w:tcPr>
            <w:tcW w:w="7499" w:type="dxa"/>
            <w:gridSpan w:val="27"/>
            <w:vAlign w:val="center"/>
          </w:tcPr>
          <w:p w14:paraId="61B76DB8" w14:textId="746DF303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Arial"/>
                <w:sz w:val="16"/>
                <w:szCs w:val="16"/>
              </w:rPr>
              <w:t>Konačna ocjena uzima u obzir ocjenu kolokvija (ukoliko je ostvarena), seminara, pismenog i usmenog ispita. Pohađanje nastave 1,5 ECTS; seminarski rad 1 ECTS, rad na</w:t>
            </w:r>
            <w:r>
              <w:rPr>
                <w:rFonts w:ascii="Merriweather" w:hAnsi="Merriweather" w:cs="Arial"/>
                <w:sz w:val="16"/>
                <w:szCs w:val="16"/>
              </w:rPr>
              <w:t xml:space="preserve"> literaturi 1,5</w:t>
            </w:r>
            <w:r w:rsidRPr="00DA59E8">
              <w:rPr>
                <w:rFonts w:ascii="Merriweather" w:hAnsi="Merriweather" w:cs="Arial"/>
                <w:sz w:val="16"/>
                <w:szCs w:val="16"/>
              </w:rPr>
              <w:t xml:space="preserve"> ECTS; pismeni ispit 1,5 ECTS; usmeni ispit 1</w:t>
            </w:r>
            <w:r>
              <w:rPr>
                <w:rFonts w:ascii="Merriweather" w:hAnsi="Merriweather" w:cs="Arial"/>
                <w:sz w:val="16"/>
                <w:szCs w:val="16"/>
              </w:rPr>
              <w:t>,5</w:t>
            </w:r>
            <w:r w:rsidRPr="00DA59E8">
              <w:rPr>
                <w:rFonts w:ascii="Merriweather" w:hAnsi="Merriweather" w:cs="Arial"/>
                <w:sz w:val="16"/>
                <w:szCs w:val="16"/>
              </w:rPr>
              <w:t xml:space="preserve"> ECTS.</w:t>
            </w:r>
          </w:p>
        </w:tc>
      </w:tr>
      <w:tr w:rsidR="006B61C3" w:rsidRPr="00DA59E8" w14:paraId="6CB6AD2E" w14:textId="77777777" w:rsidTr="006B61C3">
        <w:tc>
          <w:tcPr>
            <w:tcW w:w="1789" w:type="dxa"/>
            <w:vMerge w:val="restart"/>
            <w:shd w:val="clear" w:color="auto" w:fill="F2F2F2" w:themeFill="background1" w:themeFillShade="F2"/>
          </w:tcPr>
          <w:p w14:paraId="700B5FDD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19" w:type="dxa"/>
            <w:gridSpan w:val="5"/>
            <w:vAlign w:val="center"/>
          </w:tcPr>
          <w:p w14:paraId="7F69A156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80" w:type="dxa"/>
            <w:gridSpan w:val="22"/>
            <w:vAlign w:val="center"/>
          </w:tcPr>
          <w:p w14:paraId="125F4A6B" w14:textId="4CE5FF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>0-59 % nedovoljan (1)</w:t>
            </w:r>
          </w:p>
        </w:tc>
      </w:tr>
      <w:tr w:rsidR="006B61C3" w:rsidRPr="00DA59E8" w14:paraId="4B27F76B" w14:textId="77777777" w:rsidTr="006B61C3">
        <w:tc>
          <w:tcPr>
            <w:tcW w:w="1789" w:type="dxa"/>
            <w:vMerge/>
            <w:shd w:val="clear" w:color="auto" w:fill="F2F2F2" w:themeFill="background1" w:themeFillShade="F2"/>
          </w:tcPr>
          <w:p w14:paraId="371EB466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2FFB7C1B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5DD4E37C" w14:textId="0E65C708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>60-69 % dovoljan (2)</w:t>
            </w:r>
          </w:p>
        </w:tc>
      </w:tr>
      <w:tr w:rsidR="006B61C3" w:rsidRPr="00DA59E8" w14:paraId="0E4A2E5F" w14:textId="77777777" w:rsidTr="006B61C3">
        <w:tc>
          <w:tcPr>
            <w:tcW w:w="1789" w:type="dxa"/>
            <w:vMerge/>
            <w:shd w:val="clear" w:color="auto" w:fill="F2F2F2" w:themeFill="background1" w:themeFillShade="F2"/>
          </w:tcPr>
          <w:p w14:paraId="574BA8E0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0C9A6D86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1B68607C" w14:textId="355B1EDA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>70-79 % dobar (3)</w:t>
            </w:r>
          </w:p>
        </w:tc>
      </w:tr>
      <w:tr w:rsidR="006B61C3" w:rsidRPr="00DA59E8" w14:paraId="09EEECE2" w14:textId="77777777" w:rsidTr="006B61C3">
        <w:tc>
          <w:tcPr>
            <w:tcW w:w="1789" w:type="dxa"/>
            <w:vMerge/>
            <w:shd w:val="clear" w:color="auto" w:fill="F2F2F2" w:themeFill="background1" w:themeFillShade="F2"/>
          </w:tcPr>
          <w:p w14:paraId="4EE1A443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41678F8F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3CFB2609" w14:textId="57800215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>80-89 % vrlo dobar (4)</w:t>
            </w:r>
          </w:p>
        </w:tc>
      </w:tr>
      <w:tr w:rsidR="006B61C3" w:rsidRPr="00DA59E8" w14:paraId="39C354EE" w14:textId="77777777" w:rsidTr="006B61C3">
        <w:tc>
          <w:tcPr>
            <w:tcW w:w="1789" w:type="dxa"/>
            <w:vMerge/>
            <w:shd w:val="clear" w:color="auto" w:fill="F2F2F2" w:themeFill="background1" w:themeFillShade="F2"/>
          </w:tcPr>
          <w:p w14:paraId="2E0243C3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27EE6962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004D8A67" w14:textId="5C545B92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sz w:val="16"/>
                <w:szCs w:val="16"/>
              </w:rPr>
              <w:t>90-100 % izvrstan (5)</w:t>
            </w:r>
          </w:p>
        </w:tc>
      </w:tr>
      <w:tr w:rsidR="006B61C3" w:rsidRPr="00DA59E8" w14:paraId="04843AC7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159DFB31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99" w:type="dxa"/>
            <w:gridSpan w:val="27"/>
            <w:vAlign w:val="center"/>
          </w:tcPr>
          <w:p w14:paraId="68BA48A9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4D826EA2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1FDB24A1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3518FDEB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1AD1FA83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9E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6B61C3" w:rsidRPr="00DA59E8" w14:paraId="0176DD27" w14:textId="77777777" w:rsidTr="006B61C3">
        <w:tc>
          <w:tcPr>
            <w:tcW w:w="1789" w:type="dxa"/>
            <w:shd w:val="clear" w:color="auto" w:fill="F2F2F2" w:themeFill="background1" w:themeFillShade="F2"/>
          </w:tcPr>
          <w:p w14:paraId="5FCF86D5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37748F77" w14:textId="77777777" w:rsidR="006B61C3" w:rsidRPr="00DA59E8" w:rsidRDefault="006B61C3" w:rsidP="006B61C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A59E8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99" w:type="dxa"/>
            <w:gridSpan w:val="27"/>
            <w:shd w:val="clear" w:color="auto" w:fill="auto"/>
          </w:tcPr>
          <w:p w14:paraId="0DB0AC43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59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DA59E8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DA59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DCD4C9F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59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DA59E8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DA59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DA59E8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DA59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58015823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59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469F1187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59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F704793" w14:textId="77777777" w:rsidR="006B61C3" w:rsidRDefault="006B61C3" w:rsidP="006B61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59E8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8977A24" w14:textId="77777777" w:rsidR="006B61C3" w:rsidRDefault="006B61C3" w:rsidP="006B61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1FD7DC1" w14:textId="0A14B802" w:rsidR="006B61C3" w:rsidRDefault="006B61C3" w:rsidP="006B61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Svi radovi, bilo da su u nacrtu ili kona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nom obliku, za ispunjavanje zahtjeva predmeta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(uklju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čujući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seminarski rad, projekt, ispit, usmenu prezentaciju, ili drugi rad) moraju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biti ili vlastiti rad studenta ili mora jasno biti naveden izvor. Kori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š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tenje </w:t>
            </w:r>
            <w:proofErr w:type="spellStart"/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ChatGPT</w:t>
            </w:r>
            <w:proofErr w:type="spellEnd"/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-a ili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drugih AI alata za ispunjavanje ciljeva predmeta sli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no je drugim oblicima prijevare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koji su definirani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čl. 14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r w:rsidRPr="005B598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Etičkog kodeksa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ili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š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ta u Zadru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23F6543D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6C4E480" w14:textId="2B54C6D5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59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DA59E8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DA59E8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A7ED633" w14:textId="77777777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EEC11E2" w14:textId="0A187B86" w:rsidR="006B61C3" w:rsidRPr="00DA59E8" w:rsidRDefault="006B61C3" w:rsidP="006B61C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59E8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studentima/</w:t>
            </w:r>
            <w:proofErr w:type="spellStart"/>
            <w:r w:rsidRPr="00DA59E8">
              <w:rPr>
                <w:rFonts w:ascii="Merriweather" w:eastAsia="MS Gothic" w:hAnsi="Merriweather" w:cs="Times New Roman"/>
                <w:sz w:val="16"/>
                <w:szCs w:val="16"/>
              </w:rPr>
              <w:t>cama</w:t>
            </w:r>
            <w:proofErr w:type="spellEnd"/>
            <w:r w:rsidRPr="00DA59E8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potrebni AAI računi. </w:t>
            </w:r>
          </w:p>
        </w:tc>
      </w:tr>
    </w:tbl>
    <w:p w14:paraId="480ED0AC" w14:textId="77777777" w:rsidR="00794496" w:rsidRPr="00DA59E8" w:rsidRDefault="00794496">
      <w:pPr>
        <w:rPr>
          <w:rFonts w:ascii="Merriweather" w:hAnsi="Merriweather" w:cs="Times New Roman"/>
          <w:sz w:val="16"/>
          <w:szCs w:val="16"/>
        </w:rPr>
      </w:pPr>
    </w:p>
    <w:sectPr w:rsidR="00794496" w:rsidRPr="00DA59E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5819" w14:textId="77777777" w:rsidR="001658CF" w:rsidRDefault="001658CF" w:rsidP="009947BA">
      <w:pPr>
        <w:spacing w:before="0" w:after="0"/>
      </w:pPr>
      <w:r>
        <w:separator/>
      </w:r>
    </w:p>
  </w:endnote>
  <w:endnote w:type="continuationSeparator" w:id="0">
    <w:p w14:paraId="2E9DF594" w14:textId="77777777" w:rsidR="001658CF" w:rsidRDefault="001658C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4369" w14:textId="77777777" w:rsidR="001658CF" w:rsidRDefault="001658CF" w:rsidP="009947BA">
      <w:pPr>
        <w:spacing w:before="0" w:after="0"/>
      </w:pPr>
      <w:r>
        <w:separator/>
      </w:r>
    </w:p>
  </w:footnote>
  <w:footnote w:type="continuationSeparator" w:id="0">
    <w:p w14:paraId="23393FA2" w14:textId="77777777" w:rsidR="001658CF" w:rsidRDefault="001658CF" w:rsidP="009947BA">
      <w:pPr>
        <w:spacing w:before="0" w:after="0"/>
      </w:pPr>
      <w:r>
        <w:continuationSeparator/>
      </w:r>
    </w:p>
  </w:footnote>
  <w:footnote w:id="1">
    <w:p w14:paraId="7D58E4FE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E56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43C73" wp14:editId="4C1FDC7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875B2" w14:textId="77777777"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4BEA604" wp14:editId="50F3D5A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43C7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4B875B2" w14:textId="77777777"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4BEA604" wp14:editId="50F3D5AC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07CB840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BB562DC" w14:textId="77777777" w:rsidR="0079745E" w:rsidRDefault="0079745E" w:rsidP="0079745E">
    <w:pPr>
      <w:pStyle w:val="Header"/>
    </w:pPr>
  </w:p>
  <w:p w14:paraId="789E9C9C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135F2"/>
    <w:multiLevelType w:val="hybridMultilevel"/>
    <w:tmpl w:val="B944F050"/>
    <w:lvl w:ilvl="0" w:tplc="2F0C681E">
      <w:start w:val="1"/>
      <w:numFmt w:val="decimal"/>
      <w:lvlText w:val="%1."/>
      <w:lvlJc w:val="left"/>
      <w:pPr>
        <w:ind w:left="720" w:hanging="360"/>
      </w:pPr>
      <w:rPr>
        <w:rFonts w:ascii="Merriweather" w:eastAsia="MS Gothic" w:hAnsi="Merriweather" w:cs="Times New Roman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60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75730"/>
    <w:rsid w:val="00093741"/>
    <w:rsid w:val="00095DFF"/>
    <w:rsid w:val="000B3464"/>
    <w:rsid w:val="000C0578"/>
    <w:rsid w:val="000F2559"/>
    <w:rsid w:val="0010332B"/>
    <w:rsid w:val="001443A2"/>
    <w:rsid w:val="00150B32"/>
    <w:rsid w:val="001658CF"/>
    <w:rsid w:val="00176352"/>
    <w:rsid w:val="00187899"/>
    <w:rsid w:val="00197510"/>
    <w:rsid w:val="001C7C51"/>
    <w:rsid w:val="00226462"/>
    <w:rsid w:val="0022722C"/>
    <w:rsid w:val="002639DD"/>
    <w:rsid w:val="0028545A"/>
    <w:rsid w:val="002E1CE6"/>
    <w:rsid w:val="002F2D22"/>
    <w:rsid w:val="002F7976"/>
    <w:rsid w:val="00310F9A"/>
    <w:rsid w:val="00313C9C"/>
    <w:rsid w:val="00321D92"/>
    <w:rsid w:val="00326091"/>
    <w:rsid w:val="00341EED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1179C"/>
    <w:rsid w:val="00527C5F"/>
    <w:rsid w:val="005353ED"/>
    <w:rsid w:val="00547125"/>
    <w:rsid w:val="005514C3"/>
    <w:rsid w:val="005B5989"/>
    <w:rsid w:val="005E1668"/>
    <w:rsid w:val="005E5F80"/>
    <w:rsid w:val="005F6E0B"/>
    <w:rsid w:val="0062328F"/>
    <w:rsid w:val="006410E8"/>
    <w:rsid w:val="00684BBC"/>
    <w:rsid w:val="006B4920"/>
    <w:rsid w:val="006B61C3"/>
    <w:rsid w:val="006D3B25"/>
    <w:rsid w:val="006F4A8D"/>
    <w:rsid w:val="00700D7A"/>
    <w:rsid w:val="00721260"/>
    <w:rsid w:val="00724DAD"/>
    <w:rsid w:val="007361E7"/>
    <w:rsid w:val="007368EB"/>
    <w:rsid w:val="007703DE"/>
    <w:rsid w:val="0078125F"/>
    <w:rsid w:val="00794496"/>
    <w:rsid w:val="007967CC"/>
    <w:rsid w:val="0079745E"/>
    <w:rsid w:val="00797B40"/>
    <w:rsid w:val="007C43A4"/>
    <w:rsid w:val="007D26E2"/>
    <w:rsid w:val="007D4D2D"/>
    <w:rsid w:val="007F5F3F"/>
    <w:rsid w:val="00865776"/>
    <w:rsid w:val="008659CA"/>
    <w:rsid w:val="00874D5D"/>
    <w:rsid w:val="00891C60"/>
    <w:rsid w:val="00892E11"/>
    <w:rsid w:val="008942F0"/>
    <w:rsid w:val="008C780A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96776"/>
    <w:rsid w:val="00AA19E1"/>
    <w:rsid w:val="00AA1A5A"/>
    <w:rsid w:val="00AA3248"/>
    <w:rsid w:val="00AC33FC"/>
    <w:rsid w:val="00AD23FB"/>
    <w:rsid w:val="00B71A57"/>
    <w:rsid w:val="00B7307A"/>
    <w:rsid w:val="00BC5E81"/>
    <w:rsid w:val="00BE781B"/>
    <w:rsid w:val="00C02454"/>
    <w:rsid w:val="00C3477B"/>
    <w:rsid w:val="00C85956"/>
    <w:rsid w:val="00C9733D"/>
    <w:rsid w:val="00CA3783"/>
    <w:rsid w:val="00CB23F4"/>
    <w:rsid w:val="00CF7C44"/>
    <w:rsid w:val="00D136E4"/>
    <w:rsid w:val="00D5334D"/>
    <w:rsid w:val="00D5523D"/>
    <w:rsid w:val="00D943FF"/>
    <w:rsid w:val="00D944DF"/>
    <w:rsid w:val="00DA59E8"/>
    <w:rsid w:val="00DD110C"/>
    <w:rsid w:val="00DE6D53"/>
    <w:rsid w:val="00E06E39"/>
    <w:rsid w:val="00E07D73"/>
    <w:rsid w:val="00E11376"/>
    <w:rsid w:val="00E17D18"/>
    <w:rsid w:val="00E30E67"/>
    <w:rsid w:val="00E55D97"/>
    <w:rsid w:val="00EB5A72"/>
    <w:rsid w:val="00F02A8F"/>
    <w:rsid w:val="00F22855"/>
    <w:rsid w:val="00F513E0"/>
    <w:rsid w:val="00F566DA"/>
    <w:rsid w:val="00F72C56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411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building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:architectur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6CEE-F58A-476E-9F8A-638F3DC2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1480</Words>
  <Characters>8440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Lidija Butković Mićin</cp:lastModifiedBy>
  <cp:revision>5</cp:revision>
  <cp:lastPrinted>2021-02-12T11:27:00Z</cp:lastPrinted>
  <dcterms:created xsi:type="dcterms:W3CDTF">2023-09-11T12:24:00Z</dcterms:created>
  <dcterms:modified xsi:type="dcterms:W3CDTF">2023-09-12T15:22:00Z</dcterms:modified>
</cp:coreProperties>
</file>