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CB15" w14:textId="77777777" w:rsidR="00AB5C81" w:rsidRDefault="00E44607">
      <w:pPr>
        <w:jc w:val="center"/>
        <w:rPr>
          <w:rFonts w:ascii="Merriweather Bold" w:eastAsia="Merriweather Bold" w:hAnsi="Merriweather Bold" w:cs="Merriweather Bold"/>
          <w:sz w:val="24"/>
          <w:szCs w:val="24"/>
        </w:rPr>
      </w:pPr>
      <w:r>
        <w:rPr>
          <w:rFonts w:ascii="Merriweather Bold" w:hAnsi="Merriweather Bold"/>
          <w:sz w:val="24"/>
          <w:szCs w:val="24"/>
        </w:rPr>
        <w:t>Izvedbeni plan nastave (syllabus)</w:t>
      </w:r>
    </w:p>
    <w:tbl>
      <w:tblPr>
        <w:tblW w:w="89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1"/>
        <w:gridCol w:w="393"/>
        <w:gridCol w:w="361"/>
        <w:gridCol w:w="269"/>
        <w:gridCol w:w="160"/>
        <w:gridCol w:w="160"/>
        <w:gridCol w:w="160"/>
        <w:gridCol w:w="160"/>
        <w:gridCol w:w="160"/>
        <w:gridCol w:w="320"/>
        <w:gridCol w:w="177"/>
        <w:gridCol w:w="259"/>
        <w:gridCol w:w="249"/>
        <w:gridCol w:w="160"/>
        <w:gridCol w:w="379"/>
        <w:gridCol w:w="517"/>
        <w:gridCol w:w="370"/>
        <w:gridCol w:w="160"/>
        <w:gridCol w:w="390"/>
        <w:gridCol w:w="495"/>
        <w:gridCol w:w="160"/>
        <w:gridCol w:w="161"/>
        <w:gridCol w:w="160"/>
        <w:gridCol w:w="159"/>
        <w:gridCol w:w="623"/>
        <w:gridCol w:w="745"/>
      </w:tblGrid>
      <w:tr w:rsidR="00AB5C81" w14:paraId="6C16772C" w14:textId="77777777">
        <w:trPr>
          <w:trHeight w:val="54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DA3CB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Sastavnica</w:t>
            </w:r>
          </w:p>
        </w:tc>
        <w:tc>
          <w:tcPr>
            <w:tcW w:w="48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1814D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Odjel za povijest umjetnosti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7005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akad. god.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2BD5" w14:textId="5D637E80" w:rsidR="00AB5C81" w:rsidRDefault="00E44607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202</w:t>
            </w:r>
            <w:r w:rsidR="00A86B4F">
              <w:rPr>
                <w:rFonts w:ascii="Merriweather Regular" w:hAnsi="Merriweather Regular"/>
                <w:sz w:val="18"/>
                <w:szCs w:val="18"/>
                <w:lang w:val="hr-HR"/>
              </w:rPr>
              <w:t>3</w:t>
            </w:r>
            <w:r>
              <w:rPr>
                <w:rFonts w:ascii="Merriweather Regular" w:hAnsi="Merriweather Regular"/>
                <w:sz w:val="18"/>
                <w:szCs w:val="18"/>
              </w:rPr>
              <w:t>.-202</w:t>
            </w:r>
            <w:r w:rsidR="00A86B4F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</w:tr>
      <w:tr w:rsidR="00AB5C81" w14:paraId="46ADF008" w14:textId="77777777">
        <w:trPr>
          <w:trHeight w:val="48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C94C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kolegija</w:t>
            </w:r>
          </w:p>
        </w:tc>
        <w:tc>
          <w:tcPr>
            <w:tcW w:w="48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3B42" w14:textId="77777777" w:rsidR="00AB5C81" w:rsidRDefault="00E44607">
            <w:pPr>
              <w:spacing w:before="20" w:after="20"/>
              <w:jc w:val="center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RANOG KRŠĆANSTVA I BIZANTA</w:t>
            </w:r>
          </w:p>
          <w:p w14:paraId="6D7F13DD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(PUD 203)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EAAA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ECTS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4C75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4</w:t>
            </w:r>
          </w:p>
        </w:tc>
      </w:tr>
      <w:tr w:rsidR="00AB5C81" w14:paraId="72E01C96" w14:textId="77777777">
        <w:trPr>
          <w:trHeight w:val="28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4058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studija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36D9" w14:textId="5C8D51CC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 xml:space="preserve">Preddiplomski </w:t>
            </w:r>
            <w:r w:rsidR="00A86B4F">
              <w:rPr>
                <w:rFonts w:ascii="Merriweather Bold" w:hAnsi="Merriweather Bold"/>
                <w:sz w:val="18"/>
                <w:szCs w:val="18"/>
                <w:lang w:val="hr-HR"/>
              </w:rPr>
              <w:t>dvo</w:t>
            </w:r>
            <w:r>
              <w:rPr>
                <w:rFonts w:ascii="Merriweather Bold" w:hAnsi="Merriweather Bold"/>
                <w:sz w:val="18"/>
                <w:szCs w:val="18"/>
              </w:rPr>
              <w:t>predmetni sveučilišni studij povijesti umjetnosti</w:t>
            </w:r>
          </w:p>
        </w:tc>
      </w:tr>
      <w:tr w:rsidR="00AB5C81" w14:paraId="55E9511E" w14:textId="77777777">
        <w:trPr>
          <w:trHeight w:val="28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AD24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Razina studija</w:t>
            </w:r>
          </w:p>
        </w:tc>
        <w:tc>
          <w:tcPr>
            <w:tcW w:w="1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014A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preddiplomski</w:t>
            </w:r>
          </w:p>
        </w:tc>
        <w:tc>
          <w:tcPr>
            <w:tcW w:w="1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E4B19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diplomski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3E869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integrirani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ADF5" w14:textId="77777777" w:rsidR="00AB5C81" w:rsidRDefault="00E44607">
            <w:pPr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poslijediplomski</w:t>
            </w:r>
          </w:p>
        </w:tc>
      </w:tr>
      <w:tr w:rsidR="00AB5C81" w14:paraId="12B846A7" w14:textId="77777777">
        <w:trPr>
          <w:trHeight w:val="28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BFD1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Godina studija</w:t>
            </w:r>
          </w:p>
        </w:tc>
        <w:tc>
          <w:tcPr>
            <w:tcW w:w="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9F8D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1.</w:t>
            </w:r>
          </w:p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5A9FA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2.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6E026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3.</w:t>
            </w:r>
          </w:p>
        </w:tc>
        <w:tc>
          <w:tcPr>
            <w:tcW w:w="1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BCE4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4.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3B50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5.</w:t>
            </w:r>
          </w:p>
        </w:tc>
      </w:tr>
      <w:tr w:rsidR="00AB5C81" w14:paraId="4B731BF8" w14:textId="77777777">
        <w:trPr>
          <w:trHeight w:val="49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B3F4C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Semestar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1D28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Bold" w:hAnsi="Merriweather Bold"/>
                <w:sz w:val="18"/>
                <w:szCs w:val="18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</w:rPr>
              <w:t>zimski</w:t>
            </w:r>
          </w:p>
          <w:p w14:paraId="3CC33324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ljetni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BAFB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I.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AECEE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  <w:lang w:val="it-IT"/>
              </w:rPr>
              <w:t>x II.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00D59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III.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CF397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IV.</w:t>
            </w:r>
          </w:p>
        </w:tc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B3C1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  <w:lang w:val="da-DK"/>
              </w:rPr>
              <w:t>X V.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F365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VI.</w:t>
            </w:r>
          </w:p>
        </w:tc>
      </w:tr>
      <w:tr w:rsidR="00AB5C81" w14:paraId="6F13771E" w14:textId="77777777">
        <w:trPr>
          <w:trHeight w:val="69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CE5E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Status kolegija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DAB63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x obvezni kolegij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DA7F" w14:textId="77777777" w:rsidR="00AB5C81" w:rsidRDefault="00E44607">
            <w:pPr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</w:t>
            </w:r>
          </w:p>
        </w:tc>
        <w:tc>
          <w:tcPr>
            <w:tcW w:w="2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F256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3898F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Nastavničke kompetencije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1541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DA</w:t>
            </w:r>
          </w:p>
          <w:p w14:paraId="2A894471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  <w:lang w:val="de-DE"/>
              </w:rPr>
              <w:t>x NE</w:t>
            </w:r>
          </w:p>
        </w:tc>
      </w:tr>
      <w:tr w:rsidR="00AB5C81" w14:paraId="5C7910AD" w14:textId="77777777">
        <w:trPr>
          <w:trHeight w:val="28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B275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Opterećenje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662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30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8C4F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P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A352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15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347E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85FC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07F0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V</w:t>
            </w: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5189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Mrežne stranice kolegija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DC52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  <w:lang w:val="fr-FR"/>
              </w:rPr>
              <w:t>x DA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NE</w:t>
            </w:r>
          </w:p>
        </w:tc>
      </w:tr>
      <w:tr w:rsidR="00AB5C81" w14:paraId="000C998A" w14:textId="77777777">
        <w:trPr>
          <w:trHeight w:val="106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A35A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Mjesto i vrijeme izvođenja nastave</w:t>
            </w:r>
          </w:p>
        </w:tc>
        <w:tc>
          <w:tcPr>
            <w:tcW w:w="2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479C1" w14:textId="77777777" w:rsidR="00AB5C81" w:rsidRDefault="00E44607">
            <w:pPr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dv. 113;</w:t>
            </w:r>
          </w:p>
          <w:p w14:paraId="0DDF9F4F" w14:textId="0BC99D49" w:rsidR="00AB5C81" w:rsidRPr="00A86B4F" w:rsidRDefault="00A86B4F">
            <w:pPr>
              <w:spacing w:before="20" w:after="20"/>
              <w:jc w:val="center"/>
              <w:rPr>
                <w:lang w:val="hr-HR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bit će objavljeno na webu</w:t>
            </w:r>
          </w:p>
        </w:tc>
        <w:tc>
          <w:tcPr>
            <w:tcW w:w="2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F51BF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Jezik/jezici na kojima se izvodi kolegij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FE122" w14:textId="77777777" w:rsidR="00AB5C81" w:rsidRDefault="00E44607">
            <w:pPr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hrvatski</w:t>
            </w:r>
          </w:p>
        </w:tc>
      </w:tr>
      <w:tr w:rsidR="00AB5C81" w14:paraId="453AB54A" w14:textId="77777777">
        <w:trPr>
          <w:trHeight w:val="54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B01D8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Početak nastave</w:t>
            </w:r>
          </w:p>
        </w:tc>
        <w:tc>
          <w:tcPr>
            <w:tcW w:w="2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A32BCF2" w14:textId="48F25FE2" w:rsidR="00AB5C81" w:rsidRDefault="00A86B4F">
            <w:pPr>
              <w:tabs>
                <w:tab w:val="left" w:pos="1218"/>
              </w:tabs>
              <w:spacing w:before="20" w:after="20"/>
              <w:ind w:left="360"/>
              <w:jc w:val="center"/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26. 2</w:t>
            </w:r>
            <w:r w:rsidR="00E44607">
              <w:rPr>
                <w:rFonts w:ascii="Merriweather Regular" w:hAnsi="Merriweather Regular"/>
                <w:sz w:val="18"/>
                <w:szCs w:val="18"/>
              </w:rPr>
              <w:t>. 202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 w:rsidR="00E44607"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  <w:tc>
          <w:tcPr>
            <w:tcW w:w="2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72BF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Završetak nastave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9D344" w14:textId="543E48CD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7. 6. 202</w:t>
            </w:r>
            <w:r w:rsidR="00A86B4F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</w:tr>
      <w:tr w:rsidR="00AB5C81" w14:paraId="097FF588" w14:textId="77777777">
        <w:trPr>
          <w:trHeight w:val="54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ACB3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Preduvjeti za upis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3408B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upisan studij povijesti umjetnosti</w:t>
            </w:r>
          </w:p>
        </w:tc>
      </w:tr>
      <w:tr w:rsidR="00AB5C81" w14:paraId="18CDE1E7" w14:textId="77777777">
        <w:trPr>
          <w:trHeight w:val="280"/>
          <w:jc w:val="center"/>
        </w:trPr>
        <w:tc>
          <w:tcPr>
            <w:tcW w:w="89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1E81" w14:textId="77777777" w:rsidR="00AB5C81" w:rsidRDefault="00AB5C81"/>
        </w:tc>
      </w:tr>
      <w:tr w:rsidR="00AB5C81" w14:paraId="169FD9A5" w14:textId="77777777">
        <w:trPr>
          <w:trHeight w:val="54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6BF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Nositelj kolegija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B4055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AB5C81" w14:paraId="61A90EB3" w14:textId="77777777">
        <w:trPr>
          <w:trHeight w:val="46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3D7A" w14:textId="77777777" w:rsidR="00AB5C81" w:rsidRDefault="00E44607">
            <w:pPr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E-mail</w:t>
            </w:r>
          </w:p>
        </w:tc>
        <w:tc>
          <w:tcPr>
            <w:tcW w:w="33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C1D14" w14:textId="77777777" w:rsidR="00AB5C81" w:rsidRDefault="00000000">
            <w:pPr>
              <w:tabs>
                <w:tab w:val="left" w:pos="1218"/>
              </w:tabs>
              <w:spacing w:before="20" w:after="20"/>
            </w:pPr>
            <w:hyperlink r:id="rId7" w:history="1">
              <w:r w:rsidR="00E44607">
                <w:rPr>
                  <w:rStyle w:val="Hyperlink0"/>
                </w:rPr>
                <w:t>mezornija@unizd.hr</w:t>
              </w:r>
            </w:hyperlink>
            <w:r w:rsidR="00E44607">
              <w:rPr>
                <w:rStyle w:val="Bez"/>
                <w:rFonts w:ascii="Merriweather Regular" w:hAnsi="Merriweather Regular"/>
                <w:sz w:val="18"/>
                <w:szCs w:val="18"/>
                <w:lang w:val="fr-FR"/>
              </w:rPr>
              <w:t xml:space="preserve"> ; </w:t>
            </w:r>
            <w:hyperlink r:id="rId8" w:history="1">
              <w:r w:rsidR="00E44607">
                <w:rPr>
                  <w:rStyle w:val="Hyperlink0"/>
                </w:rPr>
                <w:t>zornija@gmail.com</w:t>
              </w:r>
            </w:hyperlink>
            <w:r w:rsidR="00E44607"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651A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Konzultacije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7724E" w14:textId="2B6AA0A6" w:rsidR="00AB5C81" w:rsidRDefault="00A86B4F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bit će objavljeno na webu</w:t>
            </w:r>
          </w:p>
        </w:tc>
      </w:tr>
      <w:tr w:rsidR="00AB5C81" w14:paraId="29DB1043" w14:textId="77777777">
        <w:trPr>
          <w:trHeight w:val="54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C63D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Izvođač kolegija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EA80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AB5C81" w14:paraId="5B15938B" w14:textId="77777777">
        <w:trPr>
          <w:trHeight w:val="270"/>
          <w:jc w:val="center"/>
        </w:trPr>
        <w:tc>
          <w:tcPr>
            <w:tcW w:w="89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930F" w14:textId="77777777" w:rsidR="00AB5C81" w:rsidRDefault="00AB5C81"/>
        </w:tc>
      </w:tr>
      <w:tr w:rsidR="00AB5C81" w14:paraId="4F0722B7" w14:textId="77777777">
        <w:trPr>
          <w:trHeight w:val="475"/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A2751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Vrste izvođenja nastave</w:t>
            </w:r>
          </w:p>
        </w:tc>
        <w:tc>
          <w:tcPr>
            <w:tcW w:w="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336E1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predavanja</w:t>
            </w:r>
          </w:p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1127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b/>
                <w:bCs/>
                <w:sz w:val="18"/>
                <w:szCs w:val="18"/>
                <w:lang w:val="fr-FR"/>
              </w:rPr>
              <w:t xml:space="preserve">x </w:t>
            </w: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 xml:space="preserve"> seminari i radionice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06F1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vježbe</w:t>
            </w:r>
          </w:p>
        </w:tc>
        <w:tc>
          <w:tcPr>
            <w:tcW w:w="1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3C78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F972B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terenska nastava</w:t>
            </w:r>
          </w:p>
        </w:tc>
      </w:tr>
      <w:tr w:rsidR="00AB5C81" w14:paraId="0254F8EF" w14:textId="77777777">
        <w:trPr>
          <w:trHeight w:val="475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9501" w14:textId="77777777" w:rsidR="00AB5C81" w:rsidRDefault="00AB5C81"/>
        </w:tc>
        <w:tc>
          <w:tcPr>
            <w:tcW w:w="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02EFE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 samostalni zadaci</w:t>
            </w:r>
          </w:p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81C5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multimedija i mreža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1E95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laboratorij</w:t>
            </w:r>
          </w:p>
        </w:tc>
        <w:tc>
          <w:tcPr>
            <w:tcW w:w="1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26ED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mentorski rad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6220C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AB5C81" w14:paraId="066FDC7F" w14:textId="77777777" w:rsidTr="00A86B4F">
        <w:trPr>
          <w:trHeight w:val="2173"/>
          <w:jc w:val="center"/>
        </w:trPr>
        <w:tc>
          <w:tcPr>
            <w:tcW w:w="3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A2BF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lastRenderedPageBreak/>
              <w:t>Ishodi učenja kolegija</w:t>
            </w:r>
          </w:p>
        </w:tc>
        <w:tc>
          <w:tcPr>
            <w:tcW w:w="58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48163C86" w14:textId="77777777" w:rsidR="00AB5C81" w:rsidRDefault="00E44607">
            <w:pPr>
              <w:spacing w:before="0" w:after="0"/>
              <w:ind w:left="28"/>
              <w:rPr>
                <w:rStyle w:val="Bez"/>
                <w:rFonts w:ascii="Merriweather Regular" w:eastAsia="Merriweather Regular" w:hAnsi="Merriweather Regular" w:cs="Merriweather Regular"/>
                <w:sz w:val="20"/>
                <w:szCs w:val="2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- identificiranje temeljnih karakteristika stila ranokršćanskog i bizantskog razdoblja i komentiranje putem korištenja ilustrativnog materijala;</w:t>
            </w:r>
          </w:p>
          <w:p w14:paraId="181CC7EF" w14:textId="21928A65" w:rsidR="00AB5C81" w:rsidRDefault="00E44607">
            <w:pPr>
              <w:spacing w:before="0" w:after="0"/>
              <w:ind w:left="28"/>
              <w:rPr>
                <w:rStyle w:val="Bez"/>
                <w:rFonts w:ascii="Merriweather Regular" w:eastAsia="Merriweather Regular" w:hAnsi="Merriweather Regular" w:cs="Merriweather Regular"/>
                <w:sz w:val="20"/>
                <w:szCs w:val="2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 xml:space="preserve">- sposobnost razumijevanja i objašnjenja osnovnih likovnih i arhitektonskih fenomena </w:t>
            </w:r>
            <w:r w:rsidR="00FB7CA6"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ranokršćanskog i bizantskog razdoblja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;</w:t>
            </w:r>
          </w:p>
          <w:p w14:paraId="578E3ABA" w14:textId="77777777" w:rsidR="00AB5C81" w:rsidRDefault="00E44607">
            <w:pPr>
              <w:spacing w:before="0" w:after="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- samostalna priprema i prezentiranje seminarske teme na pismeni i usmeni način prema unaprijed određenoj metodologiji.</w:t>
            </w:r>
          </w:p>
        </w:tc>
      </w:tr>
      <w:tr w:rsidR="00AB5C81" w14:paraId="50C8AAE2" w14:textId="77777777">
        <w:trPr>
          <w:trHeight w:val="700"/>
          <w:jc w:val="center"/>
        </w:trPr>
        <w:tc>
          <w:tcPr>
            <w:tcW w:w="3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AF55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Ishodi učenja na razini programa</w:t>
            </w:r>
          </w:p>
        </w:tc>
        <w:tc>
          <w:tcPr>
            <w:tcW w:w="58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51662" w14:textId="083647A3" w:rsidR="00A86B4F" w:rsidRPr="00A86B4F" w:rsidRDefault="00A86B4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Arial"/>
                <w:sz w:val="18"/>
                <w:szCs w:val="18"/>
                <w:shd w:val="clear" w:color="auto" w:fill="FFFFFF"/>
                <w:lang w:val="hr-HR"/>
              </w:rPr>
            </w:pP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  <w:lang w:val="hr-HR"/>
              </w:rPr>
              <w:t xml:space="preserve">- </w:t>
            </w:r>
            <w:r w:rsidRPr="00A86B4F"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>naučiti identificirati temeljne karakteristike stila u djelima likovnih umjetnosti i arhitekture pojedinog stilskog razdoblja</w:t>
            </w:r>
            <w:r w:rsidR="00CB25B4">
              <w:rPr>
                <w:rFonts w:ascii="Merriweather" w:hAnsi="Merriweather" w:cs="Arial"/>
                <w:sz w:val="18"/>
                <w:szCs w:val="18"/>
                <w:shd w:val="clear" w:color="auto" w:fill="FFFFFF"/>
                <w:lang w:val="hr-HR"/>
              </w:rPr>
              <w:t>.</w:t>
            </w:r>
          </w:p>
        </w:tc>
      </w:tr>
      <w:tr w:rsidR="00AB5C81" w14:paraId="51ADF7E1" w14:textId="77777777">
        <w:trPr>
          <w:trHeight w:val="270"/>
          <w:jc w:val="center"/>
        </w:trPr>
        <w:tc>
          <w:tcPr>
            <w:tcW w:w="89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6E8D" w14:textId="77777777" w:rsidR="00AB5C81" w:rsidRDefault="00AB5C81"/>
        </w:tc>
      </w:tr>
      <w:tr w:rsidR="00AB5C81" w14:paraId="5DB82F80" w14:textId="77777777">
        <w:trPr>
          <w:trHeight w:val="475"/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58B8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Načini praćenja studenata</w:t>
            </w:r>
          </w:p>
        </w:tc>
        <w:tc>
          <w:tcPr>
            <w:tcW w:w="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467D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pohađanje nastave</w:t>
            </w:r>
          </w:p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F35D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priprema za nastavu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1B57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it-IT"/>
              </w:rPr>
              <w:t xml:space="preserve"> doma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će zadaće</w:t>
            </w:r>
          </w:p>
        </w:tc>
        <w:tc>
          <w:tcPr>
            <w:tcW w:w="1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A974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kontinuirana evaluacija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A09B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istraživanje</w:t>
            </w:r>
          </w:p>
        </w:tc>
      </w:tr>
      <w:tr w:rsidR="00AB5C81" w14:paraId="63F924A8" w14:textId="77777777">
        <w:trPr>
          <w:trHeight w:val="699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032F7E" w14:textId="77777777" w:rsidR="00AB5C81" w:rsidRDefault="00AB5C81"/>
        </w:tc>
        <w:tc>
          <w:tcPr>
            <w:tcW w:w="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1E77D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praktični rad</w:t>
            </w:r>
          </w:p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83D9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 xml:space="preserve">☐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eksperimentalni rad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E2B7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izlaganje</w:t>
            </w:r>
          </w:p>
        </w:tc>
        <w:tc>
          <w:tcPr>
            <w:tcW w:w="1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59E0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projekt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C696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lang w:val="fr-FR"/>
              </w:rPr>
              <w:t>x seminar</w:t>
            </w:r>
          </w:p>
        </w:tc>
      </w:tr>
      <w:tr w:rsidR="00AB5C81" w14:paraId="431F5562" w14:textId="77777777">
        <w:trPr>
          <w:trHeight w:val="460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003BC3" w14:textId="77777777" w:rsidR="00AB5C81" w:rsidRDefault="00AB5C81"/>
        </w:tc>
        <w:tc>
          <w:tcPr>
            <w:tcW w:w="1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195E8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kolokvij</w:t>
            </w:r>
          </w:p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DEF8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pismeni ispit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82F9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usmeni ispit</w:t>
            </w:r>
          </w:p>
        </w:tc>
        <w:tc>
          <w:tcPr>
            <w:tcW w:w="3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B4ABF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ostalo:</w:t>
            </w:r>
          </w:p>
        </w:tc>
      </w:tr>
      <w:tr w:rsidR="00AB5C81" w14:paraId="79E08044" w14:textId="77777777">
        <w:trPr>
          <w:trHeight w:val="133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5BD5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Uvjeti pristupanja ispitu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BBF1" w14:textId="77777777" w:rsidR="00AB5C81" w:rsidRDefault="00E44607">
            <w:pPr>
              <w:spacing w:before="0" w:after="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it-IT"/>
              </w:rPr>
              <w:t>Studenti su du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žni odslušati najmanje 70% predavanja, te sudjelovati u radu i diskusiji na najmanje 70% seminara </w:t>
            </w:r>
            <w:r>
              <w:rPr>
                <w:rFonts w:ascii="Merriweather Regular" w:hAnsi="Merriweather Regular"/>
                <w:sz w:val="18"/>
                <w:szCs w:val="18"/>
              </w:rPr>
              <w:t>(u slučaju kolizije 40% predavanja i 40% seminara).</w:t>
            </w:r>
          </w:p>
          <w:p w14:paraId="0C9CE3EC" w14:textId="77777777" w:rsidR="00AB5C81" w:rsidRDefault="00E44607">
            <w:pPr>
              <w:spacing w:before="0" w:after="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Studenti su dužni izraditi jedan seminarski rad u pismenom obliku (5-10 kartica teksta), te ga prezentirati u vidu usmenog izlaganja (najmanje 20 minuta trajanja).</w:t>
            </w:r>
          </w:p>
        </w:tc>
      </w:tr>
      <w:tr w:rsidR="00AB5C81" w14:paraId="669E02E9" w14:textId="77777777">
        <w:trPr>
          <w:trHeight w:val="28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9F00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Ispitni rokovi</w:t>
            </w:r>
          </w:p>
        </w:tc>
        <w:tc>
          <w:tcPr>
            <w:tcW w:w="2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84DC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zimski ispitni rok</w:t>
            </w: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2DF2A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ljetni ispitni rok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0FAB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8"/>
                <w:szCs w:val="18"/>
              </w:rPr>
              <w:t>x jesenski ispitni rok</w:t>
            </w:r>
          </w:p>
        </w:tc>
      </w:tr>
      <w:tr w:rsidR="00AB5C81" w14:paraId="39D39056" w14:textId="77777777">
        <w:trPr>
          <w:trHeight w:val="80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A525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Termini ispitnih rokova</w:t>
            </w:r>
          </w:p>
        </w:tc>
        <w:tc>
          <w:tcPr>
            <w:tcW w:w="2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69FC" w14:textId="77777777" w:rsidR="00AB5C81" w:rsidRDefault="00AB5C81"/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CD7D0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bit će objavljeni na web stranici Odjela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03CA7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bit će objavljeni na web stranici Odjela</w:t>
            </w:r>
          </w:p>
        </w:tc>
      </w:tr>
      <w:tr w:rsidR="00AB5C81" w14:paraId="45255DE6" w14:textId="77777777">
        <w:trPr>
          <w:trHeight w:val="112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F987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Opis kolegija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720E" w14:textId="77777777" w:rsidR="00AB5C81" w:rsidRDefault="00E44607">
            <w:pPr>
              <w:tabs>
                <w:tab w:val="left" w:pos="1218"/>
              </w:tabs>
              <w:spacing w:before="40" w:after="8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Stjecanje temeljnih činjeničnih i teorijskih spoznaja o ranokršćanskoj i bizantskoj umjetnosti na području mediteranskog bazena i balkanskog poluotoka, uz kritičko razumijevanje osnovnih fenomena i prepoznavanje najvažnijih djela likovnih umjetnosti i arhitekture u razdoblju od 4. do sredine 15. stoljeća.</w:t>
            </w:r>
          </w:p>
        </w:tc>
      </w:tr>
      <w:tr w:rsidR="00AB5C81" w14:paraId="5D4025B9" w14:textId="77777777">
        <w:trPr>
          <w:trHeight w:val="784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2017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lastRenderedPageBreak/>
              <w:t>Sadržaj kolegija (nastavne teme)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DC89" w14:textId="77777777" w:rsidR="00AB5C81" w:rsidRDefault="00E44607">
            <w:pPr>
              <w:tabs>
                <w:tab w:val="left" w:pos="20"/>
                <w:tab w:val="left" w:pos="189"/>
                <w:tab w:val="left" w:pos="1218"/>
              </w:tabs>
              <w:spacing w:before="0" w:after="20"/>
              <w:rPr>
                <w:rStyle w:val="Bez"/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Style w:val="Bez"/>
                <w:rFonts w:ascii="Merriweather Bold" w:hAnsi="Merriweather Bold"/>
                <w:sz w:val="18"/>
                <w:szCs w:val="18"/>
                <w:lang w:val="en-US"/>
              </w:rPr>
              <w:t>RANOKRŠĆANSKA UMJETNOST:</w:t>
            </w:r>
          </w:p>
          <w:p w14:paraId="3EB846DE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Uvodno predavanje: povijesni kontekst (kriza trećeg stoljeća u rimskom društvu i umjetnosti, važnost Dioklecijanovih reformi); rimska umjetnost u doba tetrarhije - najvažniji spomenici (Dioklecijanova palača, Piazza Armerina)</w:t>
            </w:r>
          </w:p>
          <w:p w14:paraId="3E8376FC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Umjetnost Konstantinove dinastije u prvoj polovici 4. stoljeća: pojava kršćanstva i prvi važni kršćanski projekti u Rimu i Palestini; osnutak Konstantinopola</w:t>
            </w:r>
          </w:p>
          <w:p w14:paraId="54786E33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Ranokršćanske memorije i groblja: slikarstvo rimskih katakombi i monumentalno slikarstvo 4. stoljeća (Santa Constanza); umjetost sarkofaga</w:t>
            </w:r>
          </w:p>
          <w:p w14:paraId="2B286D66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Umjetnost Teodozijeve dinastije: arhitektura velikih kršćanskih središta na Zapadu (Aquileia, Milano, Trier, Rim)</w:t>
            </w:r>
          </w:p>
          <w:p w14:paraId="48F9B7D9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Umjetnost Teodozijeve dinastije II: arhitektura i mozaici Ravenne u 5. st.</w:t>
            </w:r>
          </w:p>
          <w:p w14:paraId="2F0ED8D9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Ranokršćanska umjetnost Istoka: Konstantinopol, Solun, Mala Azija, Sirija, Egipat i sjeverna Afrika</w:t>
            </w:r>
          </w:p>
          <w:p w14:paraId="67A1CE94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Umjetnost Justinijanovog razdoblja: Konstantinopol i Ravenna</w:t>
            </w:r>
          </w:p>
          <w:p w14:paraId="457EE420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Primijenjena umjetnost do 7. stoljeća: knjižno slikarstvo, produkcija bjelokosti i zlatarstvo</w:t>
            </w:r>
          </w:p>
          <w:p w14:paraId="300269BB" w14:textId="77777777" w:rsidR="00AB5C81" w:rsidRDefault="00E44607">
            <w:pPr>
              <w:tabs>
                <w:tab w:val="left" w:pos="20"/>
                <w:tab w:val="left" w:pos="189"/>
                <w:tab w:val="left" w:pos="1218"/>
              </w:tabs>
              <w:spacing w:before="0" w:after="20"/>
              <w:rPr>
                <w:rStyle w:val="Bez"/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Style w:val="Bez"/>
                <w:rFonts w:ascii="Merriweather Bold" w:hAnsi="Merriweather Bold"/>
                <w:sz w:val="18"/>
                <w:szCs w:val="18"/>
                <w:lang w:val="en-US"/>
              </w:rPr>
              <w:t>BIZANTSKA UMJETNOST:</w:t>
            </w:r>
          </w:p>
          <w:p w14:paraId="679EF70F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Umjetnost ikonoklazma i bizantska umjetnost u doba Makedonske dinastije: arhitektura (razvoj crkve tipa quincunx) i monumentalno slikarstvo (Konstantinopol, Solun, Kapadocija)</w:t>
            </w:r>
          </w:p>
          <w:p w14:paraId="5878E944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Bizantska umjetnost u doba Makedonske dinastije II: knjižno slikarstvo i primijenjena umjetnost</w:t>
            </w:r>
          </w:p>
          <w:p w14:paraId="3199C858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Bizantska umjetnost 11. stoljeća, poglavito slikarstvo (tzv. strogi stil): grčki manastiri, Kijev, Ohrid</w:t>
            </w:r>
          </w:p>
          <w:p w14:paraId="73A7AE5C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Bizantska umjetnost u doba Komnenske dinastije: tzv. klasično razdoblje bizantske umj. u Konstantinopolu i na matičnom tlu te na slavenskom području (posebno Makedonija)</w:t>
            </w:r>
          </w:p>
          <w:p w14:paraId="02D8E9D3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Bizantska umjetnost 12. stoljeća na Apeninskom poluotoku: Venecija i lagune, Sicilija (Palermo, Monreale)</w:t>
            </w:r>
          </w:p>
          <w:p w14:paraId="568EF46E" w14:textId="77777777" w:rsidR="00AB5C81" w:rsidRDefault="00E44607">
            <w:pPr>
              <w:numPr>
                <w:ilvl w:val="0"/>
                <w:numId w:val="1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Bizantska umjetnost u 13. stoljeću: slikarstvo tzv. plastičnog stila na Balkanu (Srbija, Kosovo, Makedonija)</w:t>
            </w:r>
          </w:p>
          <w:p w14:paraId="45440351" w14:textId="77777777" w:rsidR="00AB5C81" w:rsidRDefault="00E44607">
            <w:pPr>
              <w:numPr>
                <w:ilvl w:val="0"/>
                <w:numId w:val="1"/>
              </w:numPr>
              <w:spacing w:before="40"/>
              <w:jc w:val="both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en-US"/>
              </w:rPr>
              <w:t>Umjetnost u razdoblju Paleološke dinastije: Konstantinopol, Solun, Mistra</w:t>
            </w:r>
          </w:p>
        </w:tc>
      </w:tr>
      <w:tr w:rsidR="00AB5C81" w14:paraId="3194C94F" w14:textId="77777777" w:rsidTr="00FB7CA6">
        <w:trPr>
          <w:trHeight w:val="128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083F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Obvezna literatura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0ACA" w14:textId="77777777" w:rsidR="00AB5C81" w:rsidRDefault="00E44607">
            <w:pPr>
              <w:pStyle w:val="Heading5"/>
              <w:numPr>
                <w:ilvl w:val="0"/>
                <w:numId w:val="2"/>
              </w:numPr>
              <w:spacing w:before="20" w:after="20"/>
              <w:jc w:val="both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L. Rodley, Byzantine art and architecture - an Introduction, Cambridge University Press, 1994. ili kasnije; </w:t>
            </w:r>
          </w:p>
          <w:p w14:paraId="1CC3C02D" w14:textId="77777777" w:rsidR="00AB5C81" w:rsidRDefault="00E44607">
            <w:pPr>
              <w:pStyle w:val="Heading5"/>
              <w:numPr>
                <w:ilvl w:val="0"/>
                <w:numId w:val="2"/>
              </w:numPr>
              <w:spacing w:before="20" w:after="20"/>
              <w:jc w:val="both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J. Snyder, Medieval Art, New York, 1989. (str. 5-172); </w:t>
            </w:r>
          </w:p>
          <w:p w14:paraId="1CB046B2" w14:textId="77777777" w:rsidR="00AB5C81" w:rsidRDefault="00E44607">
            <w:pPr>
              <w:pStyle w:val="Heading5"/>
              <w:numPr>
                <w:ilvl w:val="0"/>
                <w:numId w:val="2"/>
              </w:numPr>
              <w:spacing w:before="20" w:after="20"/>
              <w:jc w:val="both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R. Krautheimer, Early Christian and Byzantine Architecture, Yale University Press, 1986. ili R. Krauthajmer, S. Čurčić, Ranohrišćanska i vizantijska arhitektura, Beograd, 2008.</w:t>
            </w:r>
          </w:p>
        </w:tc>
      </w:tr>
      <w:tr w:rsidR="00AB5C81" w14:paraId="7F1F1226" w14:textId="77777777" w:rsidTr="00FB7CA6">
        <w:trPr>
          <w:trHeight w:val="47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A518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 xml:space="preserve">Dodatna literatura 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32D3A" w14:textId="77777777" w:rsidR="00AB5C81" w:rsidRDefault="00E44607">
            <w:pPr>
              <w:pStyle w:val="Heading5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J. Lowden, Early Christian and Byzantine art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Phaidon, 2005.</w:t>
            </w:r>
          </w:p>
          <w:p w14:paraId="04BAD2C1" w14:textId="77777777" w:rsidR="00AB5C81" w:rsidRDefault="00E44607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J. Beckwith, Early Christian and Byzantine art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Yale University Press, 1993.</w:t>
            </w:r>
          </w:p>
          <w:p w14:paraId="0E33F0EF" w14:textId="77777777" w:rsidR="00AB5C81" w:rsidRDefault="00E44607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R. Cormack, Byzantine art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Oxford University Press, 2000.</w:t>
            </w:r>
          </w:p>
          <w:p w14:paraId="0A5A7780" w14:textId="77777777" w:rsidR="00AB5C81" w:rsidRDefault="00E44607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K. Weitzmann, Late Antique and Early Christian Book Illumination, New York, 1977</w:t>
            </w:r>
          </w:p>
          <w:p w14:paraId="4BA71602" w14:textId="77777777" w:rsidR="00AB5C81" w:rsidRDefault="00E44607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The Glory of Byzantium: Art and Culture of the Middle Byzantine Era, A.D. 843-1261, (ur. H. C. Evans, W. D. Wixom), The Metropolitan Museum of Art, New York, 1997.</w:t>
            </w:r>
          </w:p>
          <w:p w14:paraId="0D606756" w14:textId="77777777" w:rsidR="00AB5C81" w:rsidRDefault="00E44607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F. Gerke, Kasna antika i rano hrišćanstvo, edicija 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Umetnost u svetu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Novi Sad, 1973.</w:t>
            </w:r>
          </w:p>
          <w:p w14:paraId="4668F9A0" w14:textId="77777777" w:rsidR="00AB5C81" w:rsidRDefault="00E44607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A. Grabar, Vizantija: Vizantijska umetnost srednjega veka (od VIII do XV veka), edicija 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Umetnost u svetu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Novi Sad, 1969.</w:t>
            </w:r>
          </w:p>
          <w:p w14:paraId="443D4F7C" w14:textId="77777777" w:rsidR="00AB5C81" w:rsidRDefault="00E44607">
            <w:pPr>
              <w:pStyle w:val="Heading5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C. Schug-Wille, Bizant i njegov svijet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Rijeka, 1970.</w:t>
            </w:r>
          </w:p>
        </w:tc>
      </w:tr>
      <w:tr w:rsidR="00AB5C81" w14:paraId="7550A288" w14:textId="77777777">
        <w:trPr>
          <w:trHeight w:val="46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2E4B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4E210" w14:textId="77777777" w:rsidR="00AB5C81" w:rsidRDefault="00000000">
            <w:pPr>
              <w:pStyle w:val="Heading6"/>
              <w:spacing w:before="0" w:after="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hyperlink r:id="rId9" w:history="1">
              <w:r w:rsidR="00E44607"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http://constantinople.ehw.gr/forms/fmain.aspx</w:t>
              </w:r>
            </w:hyperlink>
          </w:p>
          <w:p w14:paraId="01C17275" w14:textId="77777777" w:rsidR="00AB5C81" w:rsidRDefault="00000000">
            <w:pPr>
              <w:pStyle w:val="Heading6"/>
              <w:spacing w:before="0" w:after="0"/>
              <w:jc w:val="both"/>
            </w:pPr>
            <w:hyperlink r:id="rId10" w:history="1">
              <w:r w:rsidR="00E44607">
                <w:rPr>
                  <w:rStyle w:val="Hyperlink2"/>
                </w:rPr>
                <w:t>http://www.thebyzantinelegacy.com</w:t>
              </w:r>
            </w:hyperlink>
          </w:p>
        </w:tc>
      </w:tr>
      <w:tr w:rsidR="00AB5C81" w14:paraId="1AA480F8" w14:textId="77777777">
        <w:trPr>
          <w:trHeight w:val="270"/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25CF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Provjera ishoda učenja (prema uputama AZVO)</w:t>
            </w:r>
          </w:p>
        </w:tc>
        <w:tc>
          <w:tcPr>
            <w:tcW w:w="56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3E0E" w14:textId="77777777" w:rsidR="00AB5C81" w:rsidRDefault="00E44607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Samo završni ispit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8058" w14:textId="77777777" w:rsidR="00AB5C81" w:rsidRDefault="00AB5C81"/>
        </w:tc>
      </w:tr>
      <w:tr w:rsidR="00AB5C81" w14:paraId="42F12B77" w14:textId="77777777">
        <w:trPr>
          <w:trHeight w:val="620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F46B22" w14:textId="77777777" w:rsidR="00AB5C81" w:rsidRDefault="00AB5C81"/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EC44E" w14:textId="77777777" w:rsidR="00AB5C81" w:rsidRDefault="00E44607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☐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završni</w:t>
            </w:r>
          </w:p>
          <w:p w14:paraId="2B7DACB8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pismeni ispit</w:t>
            </w:r>
          </w:p>
        </w:tc>
        <w:tc>
          <w:tcPr>
            <w:tcW w:w="1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D428" w14:textId="77777777" w:rsidR="00AB5C81" w:rsidRDefault="00E44607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☐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završni</w:t>
            </w:r>
          </w:p>
          <w:p w14:paraId="3772B6AF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usmeni ispit</w:t>
            </w: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71B3C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  <w:lang w:val="fr-FR"/>
              </w:rPr>
              <w:t xml:space="preserve">x </w:t>
            </w:r>
            <w:r>
              <w:rPr>
                <w:rStyle w:val="Bez"/>
                <w:rFonts w:ascii="Merriweather Bold" w:hAnsi="Merriweather Bold"/>
                <w:sz w:val="17"/>
                <w:szCs w:val="17"/>
              </w:rPr>
              <w:t>pismeni i usmeni završni ispit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A776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praktični rad i završni ispit</w:t>
            </w:r>
          </w:p>
        </w:tc>
      </w:tr>
      <w:tr w:rsidR="00AB5C81" w14:paraId="075A60AE" w14:textId="77777777">
        <w:trPr>
          <w:trHeight w:val="1254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D46A7" w14:textId="77777777" w:rsidR="00AB5C81" w:rsidRDefault="00AB5C81"/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C4704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☐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samo kolokvij / zadaće</w:t>
            </w:r>
          </w:p>
        </w:tc>
        <w:tc>
          <w:tcPr>
            <w:tcW w:w="1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2FD5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Bold" w:hAnsi="Merriweather Bold"/>
                <w:sz w:val="17"/>
                <w:szCs w:val="17"/>
              </w:rPr>
              <w:t>x</w:t>
            </w:r>
            <w:r>
              <w:rPr>
                <w:rStyle w:val="Bez"/>
                <w:rFonts w:ascii="MS Gothic" w:hAnsi="MS Gothic"/>
                <w:sz w:val="17"/>
                <w:szCs w:val="17"/>
              </w:rPr>
              <w:t xml:space="preserve"> </w:t>
            </w:r>
            <w:r>
              <w:rPr>
                <w:rStyle w:val="Bez"/>
                <w:rFonts w:ascii="Merriweather Bold" w:hAnsi="Merriweather Bold"/>
                <w:sz w:val="17"/>
                <w:szCs w:val="17"/>
              </w:rPr>
              <w:t>kolokvij i završni ispit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CDE1" w14:textId="77777777" w:rsidR="00AB5C81" w:rsidRDefault="00E44607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76B6FFDC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rad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93EE" w14:textId="77777777" w:rsidR="00AB5C81" w:rsidRDefault="00E44607">
            <w:pPr>
              <w:widowControl w:val="0"/>
              <w:spacing w:before="20" w:after="20"/>
              <w:jc w:val="center"/>
              <w:rPr>
                <w:rStyle w:val="Bez"/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Style w:val="Bez"/>
                <w:rFonts w:ascii="Segoe UI Symbol" w:eastAsia="Segoe UI Symbol" w:hAnsi="Segoe UI Symbol" w:cs="Segoe UI Symbol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5D71F8C9" w14:textId="77777777" w:rsidR="00AB5C81" w:rsidRDefault="00E44607">
            <w:pPr>
              <w:widowControl w:val="0"/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rad i završni ispit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2235D" w14:textId="77777777" w:rsidR="00AB5C81" w:rsidRDefault="00E44607">
            <w:pPr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praktični rad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399A6" w14:textId="77777777" w:rsidR="00AB5C81" w:rsidRDefault="00E44607">
            <w:pPr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MS Gothic" w:hAnsi="MS Gothic"/>
                <w:sz w:val="17"/>
                <w:szCs w:val="17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</w:rPr>
              <w:t>drugi oblici</w:t>
            </w:r>
          </w:p>
        </w:tc>
      </w:tr>
      <w:tr w:rsidR="00AB5C81" w14:paraId="750BAB3F" w14:textId="77777777">
        <w:trPr>
          <w:trHeight w:val="224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B1DA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Način formiranja završne ocjene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2CC57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Studenti tijekom semestra mogu pristupiti dvama kolokvijima koji će obuhvatiti građu iz ranokršćanske umjetnosti, a održat će se u pismenom i usmenom obliku. Uspješnim polaganjem studenti se u potpunosti oslobađaju obveze polaganja tog dijela nastavne građe na završnom ispitu kolegija (ukoliko prihvaćaju postignuti rezultat). Izlazak na kolokvij nije obavezan.</w:t>
            </w:r>
          </w:p>
          <w:p w14:paraId="0405FEC6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Temeljni način provjere znanja predstavlja završni ispit koji se izvodi u pismenom i usmenom obliku. Na pismenom ispitu potrebno je postići najmanje 60% od ukupnog postotka bodova kako bi se pristupilo usmenom dijelu ispita. Usmeni ispit služi u svrhu formiranja konačne ocjene prema omjeru: 33% prvi kolokvij, 33% drugi kolokvij, 33% završni ispit.</w:t>
            </w:r>
          </w:p>
        </w:tc>
      </w:tr>
      <w:tr w:rsidR="00AB5C81" w14:paraId="0464CF64" w14:textId="77777777">
        <w:trPr>
          <w:trHeight w:val="240"/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8E5D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Ocjenjivanje kolokvija i završnog ispita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37700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do 60%</w:t>
            </w:r>
          </w:p>
        </w:tc>
        <w:tc>
          <w:tcPr>
            <w:tcW w:w="59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2672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nedovoljan (1)</w:t>
            </w:r>
          </w:p>
        </w:tc>
      </w:tr>
      <w:tr w:rsidR="00AB5C81" w14:paraId="66AFDF43" w14:textId="77777777">
        <w:trPr>
          <w:trHeight w:val="240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74D911" w14:textId="77777777" w:rsidR="00AB5C81" w:rsidRDefault="00AB5C81"/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81B52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60-70%</w:t>
            </w:r>
          </w:p>
        </w:tc>
        <w:tc>
          <w:tcPr>
            <w:tcW w:w="59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F0D5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dovoljan (2)</w:t>
            </w:r>
          </w:p>
        </w:tc>
      </w:tr>
      <w:tr w:rsidR="00AB5C81" w14:paraId="2E8E8A4D" w14:textId="77777777">
        <w:trPr>
          <w:trHeight w:val="240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14FCE9" w14:textId="77777777" w:rsidR="00AB5C81" w:rsidRDefault="00AB5C81"/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3BE1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70-80%</w:t>
            </w:r>
          </w:p>
        </w:tc>
        <w:tc>
          <w:tcPr>
            <w:tcW w:w="59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0FA49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dobar (3)</w:t>
            </w:r>
          </w:p>
        </w:tc>
      </w:tr>
      <w:tr w:rsidR="00AB5C81" w14:paraId="1FC039E2" w14:textId="77777777">
        <w:trPr>
          <w:trHeight w:val="240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C8643" w14:textId="77777777" w:rsidR="00AB5C81" w:rsidRDefault="00AB5C81"/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8D75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80-90%</w:t>
            </w:r>
          </w:p>
        </w:tc>
        <w:tc>
          <w:tcPr>
            <w:tcW w:w="59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AA888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vrlo dobar (4)</w:t>
            </w:r>
          </w:p>
        </w:tc>
      </w:tr>
      <w:tr w:rsidR="00AB5C81" w14:paraId="1A306502" w14:textId="77777777">
        <w:trPr>
          <w:trHeight w:val="240"/>
          <w:jc w:val="center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949BA" w14:textId="77777777" w:rsidR="00AB5C81" w:rsidRDefault="00AB5C81"/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E2801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90-100%</w:t>
            </w:r>
          </w:p>
        </w:tc>
        <w:tc>
          <w:tcPr>
            <w:tcW w:w="59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9A7B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izvrstan (5)</w:t>
            </w:r>
          </w:p>
        </w:tc>
      </w:tr>
      <w:tr w:rsidR="00AB5C81" w14:paraId="50D5D41B" w14:textId="77777777">
        <w:trPr>
          <w:trHeight w:val="142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CF2C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Nač</w:t>
            </w:r>
            <w:r>
              <w:rPr>
                <w:rStyle w:val="Bez"/>
                <w:rFonts w:ascii="Merriweather Bold" w:hAnsi="Merriweather Bold"/>
                <w:sz w:val="20"/>
                <w:szCs w:val="20"/>
                <w:lang w:val="it-IT"/>
              </w:rPr>
              <w:t>in pra</w:t>
            </w: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ćenja kvalitete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B5D6" w14:textId="77777777" w:rsidR="00AB5C81" w:rsidRDefault="00E44607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studentska evaluacija nastave na razini Sveučilišta </w:t>
            </w:r>
          </w:p>
          <w:p w14:paraId="35DB86F8" w14:textId="77777777" w:rsidR="00AB5C81" w:rsidRDefault="00E44607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studentska evaluacija nastave na razini sastavnice</w:t>
            </w:r>
          </w:p>
          <w:p w14:paraId="41D5A2B9" w14:textId="77777777" w:rsidR="00AB5C81" w:rsidRDefault="00E44607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interna evaluacija nastave </w:t>
            </w:r>
          </w:p>
          <w:p w14:paraId="3BD069C0" w14:textId="77777777" w:rsidR="00AB5C81" w:rsidRDefault="00E44607">
            <w:pPr>
              <w:tabs>
                <w:tab w:val="left" w:pos="1218"/>
              </w:tabs>
              <w:spacing w:before="20" w:after="20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☒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4575BCB9" w14:textId="77777777" w:rsidR="00AB5C81" w:rsidRDefault="00E44607">
            <w:pPr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S Gothic" w:hAnsi="MS Gothic"/>
                <w:sz w:val="18"/>
                <w:szCs w:val="18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AB5C81" w14:paraId="354DAE06" w14:textId="77777777">
        <w:trPr>
          <w:trHeight w:val="6360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F3EA" w14:textId="77777777" w:rsidR="00AB5C81" w:rsidRDefault="00E44607">
            <w:pPr>
              <w:spacing w:before="20" w:after="20"/>
              <w:rPr>
                <w:rStyle w:val="Bez"/>
                <w:rFonts w:ascii="Merriweather Bold" w:eastAsia="Merriweather Bold" w:hAnsi="Merriweather Bold" w:cs="Merriweather Bold"/>
                <w:sz w:val="20"/>
                <w:szCs w:val="20"/>
              </w:rPr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lastRenderedPageBreak/>
              <w:t>Napomena</w:t>
            </w:r>
            <w:r>
              <w:rPr>
                <w:rStyle w:val="Bez"/>
                <w:rFonts w:ascii="Merriweather Bold" w:hAnsi="Merriweather Bold"/>
                <w:sz w:val="20"/>
                <w:szCs w:val="20"/>
                <w:lang w:val="ru-RU"/>
              </w:rPr>
              <w:t> </w:t>
            </w: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/</w:t>
            </w:r>
            <w:r>
              <w:rPr>
                <w:rStyle w:val="Bez"/>
                <w:rFonts w:ascii="Merriweather Bold" w:hAnsi="Merriweather Bold"/>
                <w:sz w:val="20"/>
                <w:szCs w:val="20"/>
                <w:lang w:val="ru-RU"/>
              </w:rPr>
              <w:t> </w:t>
            </w:r>
          </w:p>
          <w:p w14:paraId="75382542" w14:textId="77777777" w:rsidR="00AB5C81" w:rsidRDefault="00E44607">
            <w:pPr>
              <w:spacing w:before="20" w:after="20"/>
            </w:pPr>
            <w:r>
              <w:rPr>
                <w:rStyle w:val="Bez"/>
                <w:rFonts w:ascii="Merriweather Bold" w:hAnsi="Merriweather Bold"/>
                <w:sz w:val="20"/>
                <w:szCs w:val="20"/>
              </w:rPr>
              <w:t>Ostalo</w:t>
            </w:r>
          </w:p>
        </w:tc>
        <w:tc>
          <w:tcPr>
            <w:tcW w:w="7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393C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Sukladno čl. 6. 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. </w:t>
            </w:r>
          </w:p>
          <w:p w14:paraId="6B7267C5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Prema čl. 14. 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 Sveučilišta u Zadru, od studenata se očekuje „odgovorno i savjesno ispunjavanje obveza. […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pt-PT"/>
              </w:rPr>
              <w:t>] Du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žnost je studenata/studentica čuvati ugled i dostojanstvo svih članova/članica sveučilišne zajednice i Sveučilišta u Zadru u cjelini, promovirati moralne i akademske vrijednosti i nač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pt-PT"/>
              </w:rPr>
              <w:t>ela.[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…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pt-PT"/>
              </w:rPr>
              <w:t xml:space="preserve">] </w:t>
            </w:r>
          </w:p>
          <w:p w14:paraId="1F03DA84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čki je nedopušten svaki čin koji predstavlja povrjedu akademskog poštenja. To uključuje, ali se ne ograničava samo na: </w:t>
            </w:r>
          </w:p>
          <w:p w14:paraId="71E2CDCC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- razne oblike prijevare kao što su uporaba ili posjedovanje knjiga, bilježaka, podataka, elektroničkih naprava ili drugih pomagala za vrijeme ispita, osim u slučajevima kada je to izrijekom dopuš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it-IT"/>
              </w:rPr>
              <w:t xml:space="preserve">teno; </w:t>
            </w:r>
          </w:p>
          <w:p w14:paraId="24FDEEC4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.</w:t>
            </w:r>
          </w:p>
          <w:p w14:paraId="3CBD9F28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>
                <w:rPr>
                  <w:rStyle w:val="Hyperlink3"/>
                  <w:sz w:val="18"/>
                  <w:szCs w:val="18"/>
                </w:rPr>
                <w:t>Pravilnik o stegovnoj odgovornosti studenata/studentica Sveučilišta u Zadru</w:t>
              </w:r>
            </w:hyperlink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.</w:t>
            </w:r>
          </w:p>
          <w:p w14:paraId="518FA616" w14:textId="77777777" w:rsidR="00AB5C81" w:rsidRDefault="00AB5C81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0EE36AB1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580D3D4" w14:textId="77777777" w:rsidR="00AB5C81" w:rsidRDefault="00AB5C81">
            <w:pPr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7A4B4973" w14:textId="77777777" w:rsidR="00AB5C81" w:rsidRDefault="00E44607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</w:rPr>
              <w:t>U kolegiju se koristi Merlin, sustav za e-učenje, pa su studentima/cama potrebni AAI rač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lang w:val="it-IT"/>
              </w:rPr>
              <w:t>uni.</w:t>
            </w:r>
          </w:p>
        </w:tc>
      </w:tr>
    </w:tbl>
    <w:p w14:paraId="0019EFBB" w14:textId="77777777" w:rsidR="00AB5C81" w:rsidRDefault="00AB5C81">
      <w:pPr>
        <w:widowControl w:val="0"/>
        <w:ind w:left="108" w:hanging="108"/>
        <w:jc w:val="center"/>
      </w:pPr>
    </w:p>
    <w:sectPr w:rsidR="00AB5C81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41AE" w14:textId="77777777" w:rsidR="000A658E" w:rsidRDefault="000A658E">
      <w:pPr>
        <w:spacing w:before="0" w:after="0"/>
      </w:pPr>
      <w:r>
        <w:separator/>
      </w:r>
    </w:p>
  </w:endnote>
  <w:endnote w:type="continuationSeparator" w:id="0">
    <w:p w14:paraId="7DB699C6" w14:textId="77777777" w:rsidR="000A658E" w:rsidRDefault="000A65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Regula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  <w:font w:name="Merriweather Bold">
    <w:panose1 w:val="00000800000000000000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B725" w14:textId="77777777" w:rsidR="00AB5C81" w:rsidRDefault="00AB5C81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5C17" w14:textId="77777777" w:rsidR="000A658E" w:rsidRDefault="000A658E">
      <w:pPr>
        <w:spacing w:before="0" w:after="0"/>
      </w:pPr>
      <w:r>
        <w:separator/>
      </w:r>
    </w:p>
  </w:footnote>
  <w:footnote w:type="continuationSeparator" w:id="0">
    <w:p w14:paraId="2918A84C" w14:textId="77777777" w:rsidR="000A658E" w:rsidRDefault="000A65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B174" w14:textId="77777777" w:rsidR="00AB5C81" w:rsidRDefault="00E44607">
    <w:pPr>
      <w:pStyle w:val="Heading2"/>
      <w:tabs>
        <w:tab w:val="left" w:pos="1418"/>
      </w:tabs>
      <w:spacing w:before="0" w:after="0"/>
      <w:ind w:left="1560"/>
      <w:rPr>
        <w:rFonts w:ascii="Merriweather Bold" w:hAnsi="Merriweather Bold"/>
        <w:b w:val="0"/>
        <w:bCs w:val="0"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7E396DD" wp14:editId="711F8FE6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Pravokut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62E04EE2" w14:textId="77777777" w:rsidR="00AB5C81" w:rsidRDefault="00E44607">
                          <w:r>
                            <w:rPr>
                              <w:rStyle w:val="BezA"/>
                              <w:noProof/>
                            </w:rPr>
                            <w:drawing>
                              <wp:inline distT="0" distB="0" distL="0" distR="0" wp14:anchorId="513EBFDA" wp14:editId="6F52E004">
                                <wp:extent cx="735071" cy="785015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071" cy="785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5pt;margin-top:14.3pt;width:91.6pt;height:7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Style w:val="Bez A"/>
                      </w:rPr>
                      <w:drawing xmlns:a="http://schemas.openxmlformats.org/drawingml/2006/main">
                        <wp:inline distT="0" distB="0" distL="0" distR="0">
                          <wp:extent cx="735071" cy="785015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071" cy="785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 w14:paraId="7D235A4C" w14:textId="77777777" w:rsidR="00AB5C81" w:rsidRDefault="00E44607">
    <w:pPr>
      <w:pBdr>
        <w:bottom w:val="single" w:sz="4" w:space="0" w:color="000000"/>
      </w:pBdr>
      <w:tabs>
        <w:tab w:val="left" w:pos="1418"/>
      </w:tabs>
      <w:spacing w:before="0" w:after="0"/>
      <w:ind w:left="1560"/>
      <w:jc w:val="right"/>
    </w:pPr>
    <w:r>
      <w:rPr>
        <w:rFonts w:ascii="Merriweather Regular" w:hAnsi="Merriweather Regular"/>
        <w:sz w:val="18"/>
        <w:szCs w:val="18"/>
      </w:rPr>
      <w:t>Obrazac 1.3.2. Izvedbeni plan nastave (</w:t>
    </w:r>
    <w:r>
      <w:rPr>
        <w:rFonts w:ascii="Merriweather Light" w:hAnsi="Merriweather Light"/>
        <w:i/>
        <w:iCs/>
        <w:sz w:val="18"/>
        <w:szCs w:val="18"/>
      </w:rPr>
      <w:t>syllabus</w:t>
    </w:r>
    <w:r>
      <w:rPr>
        <w:rFonts w:ascii="Merriweather Regular" w:hAnsi="Merriweather Regular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A03"/>
    <w:multiLevelType w:val="hybridMultilevel"/>
    <w:tmpl w:val="22244004"/>
    <w:lvl w:ilvl="0" w:tplc="55A88F0E">
      <w:start w:val="1"/>
      <w:numFmt w:val="decimal"/>
      <w:lvlText w:val="%1."/>
      <w:lvlJc w:val="left"/>
      <w:pPr>
        <w:tabs>
          <w:tab w:val="left" w:pos="20"/>
          <w:tab w:val="left" w:pos="121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673F0">
      <w:start w:val="1"/>
      <w:numFmt w:val="decimal"/>
      <w:lvlText w:val="%2."/>
      <w:lvlJc w:val="left"/>
      <w:pPr>
        <w:tabs>
          <w:tab w:val="left" w:pos="20"/>
          <w:tab w:val="left" w:pos="1218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C749C">
      <w:start w:val="1"/>
      <w:numFmt w:val="decimal"/>
      <w:lvlText w:val="%3."/>
      <w:lvlJc w:val="left"/>
      <w:pPr>
        <w:tabs>
          <w:tab w:val="left" w:pos="20"/>
          <w:tab w:val="left" w:pos="1218"/>
        </w:tabs>
        <w:ind w:left="1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A3A0E">
      <w:start w:val="1"/>
      <w:numFmt w:val="decimal"/>
      <w:lvlText w:val="%4."/>
      <w:lvlJc w:val="left"/>
      <w:pPr>
        <w:tabs>
          <w:tab w:val="left" w:pos="20"/>
          <w:tab w:val="left" w:pos="1218"/>
        </w:tabs>
        <w:ind w:left="2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8560A">
      <w:start w:val="1"/>
      <w:numFmt w:val="decimal"/>
      <w:lvlText w:val="%5."/>
      <w:lvlJc w:val="left"/>
      <w:pPr>
        <w:tabs>
          <w:tab w:val="left" w:pos="20"/>
          <w:tab w:val="left" w:pos="1218"/>
        </w:tabs>
        <w:ind w:left="306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664F4">
      <w:start w:val="1"/>
      <w:numFmt w:val="decimal"/>
      <w:lvlText w:val="%6."/>
      <w:lvlJc w:val="left"/>
      <w:pPr>
        <w:tabs>
          <w:tab w:val="left" w:pos="20"/>
          <w:tab w:val="left" w:pos="1218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EBF14">
      <w:start w:val="1"/>
      <w:numFmt w:val="decimal"/>
      <w:lvlText w:val="%7."/>
      <w:lvlJc w:val="left"/>
      <w:pPr>
        <w:tabs>
          <w:tab w:val="left" w:pos="20"/>
          <w:tab w:val="left" w:pos="1218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E70F4">
      <w:start w:val="1"/>
      <w:numFmt w:val="decimal"/>
      <w:lvlText w:val="%8."/>
      <w:lvlJc w:val="left"/>
      <w:pPr>
        <w:tabs>
          <w:tab w:val="left" w:pos="20"/>
          <w:tab w:val="left" w:pos="1218"/>
        </w:tabs>
        <w:ind w:left="5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EDC2E">
      <w:start w:val="1"/>
      <w:numFmt w:val="decimal"/>
      <w:lvlText w:val="%9."/>
      <w:lvlJc w:val="left"/>
      <w:pPr>
        <w:tabs>
          <w:tab w:val="left" w:pos="20"/>
          <w:tab w:val="left" w:pos="1218"/>
        </w:tabs>
        <w:ind w:left="59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740E9D"/>
    <w:multiLevelType w:val="hybridMultilevel"/>
    <w:tmpl w:val="9C6A13F8"/>
    <w:lvl w:ilvl="0" w:tplc="5206097A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21044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45A68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030C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8A840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8FA16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2EA3E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AEF04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65D2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63640A"/>
    <w:multiLevelType w:val="hybridMultilevel"/>
    <w:tmpl w:val="43384B1C"/>
    <w:lvl w:ilvl="0" w:tplc="DAA8F1DA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E5D7E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4DDB8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E19E8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841AE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88D54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FC21F2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AA4B4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C1FE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35158"/>
    <w:multiLevelType w:val="hybridMultilevel"/>
    <w:tmpl w:val="B736249E"/>
    <w:lvl w:ilvl="0" w:tplc="38F445AC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6ED394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8C35A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8EF0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C6BB6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0AB1C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EC00E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64E56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CA02C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54095426">
    <w:abstractNumId w:val="0"/>
  </w:num>
  <w:num w:numId="2" w16cid:durableId="1260872172">
    <w:abstractNumId w:val="1"/>
  </w:num>
  <w:num w:numId="3" w16cid:durableId="1300841807">
    <w:abstractNumId w:val="2"/>
  </w:num>
  <w:num w:numId="4" w16cid:durableId="758214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81"/>
    <w:rsid w:val="000A658E"/>
    <w:rsid w:val="001972D0"/>
    <w:rsid w:val="00A86B4F"/>
    <w:rsid w:val="00AB5C81"/>
    <w:rsid w:val="00CB25B4"/>
    <w:rsid w:val="00E44607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841EB7"/>
  <w15:docId w15:val="{57FF3633-C6BE-724D-96EA-9C2D094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5">
    <w:name w:val="heading 5"/>
    <w:uiPriority w:val="9"/>
    <w:unhideWhenUsed/>
    <w:qFormat/>
    <w:pPr>
      <w:spacing w:before="120" w:after="120"/>
      <w:outlineLvl w:val="4"/>
    </w:pPr>
    <w:rPr>
      <w:rFonts w:ascii="Calibri" w:hAnsi="Calibri" w:cs="Arial Unicode MS"/>
      <w:color w:val="000000"/>
      <w:u w:color="000000"/>
      <w:lang w:val="en-US"/>
    </w:rPr>
  </w:style>
  <w:style w:type="paragraph" w:styleId="Heading6">
    <w:name w:val="heading 6"/>
    <w:uiPriority w:val="9"/>
    <w:unhideWhenUsed/>
    <w:qFormat/>
    <w:pPr>
      <w:spacing w:before="120" w:after="120"/>
      <w:outlineLvl w:val="5"/>
    </w:pPr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BezA">
    <w:name w:val="Bez A"/>
  </w:style>
  <w:style w:type="paragraph" w:customStyle="1" w:styleId="Zaglavljeipodnoje">
    <w:name w:val="Zaglavlje i podnožje"/>
    <w:pPr>
      <w:tabs>
        <w:tab w:val="right" w:pos="9020"/>
      </w:tabs>
    </w:pPr>
    <w:rPr>
      <w:rFonts w:ascii="Calibri" w:eastAsia="Calibri" w:hAnsi="Calibri" w:cs="Calibri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Bez">
    <w:name w:val="Bez"/>
  </w:style>
  <w:style w:type="character" w:customStyle="1" w:styleId="Hyperlink0">
    <w:name w:val="Hyperlink.0"/>
    <w:basedOn w:val="Bez"/>
    <w:rPr>
      <w:rFonts w:ascii="Merriweather Regular" w:eastAsia="Merriweather Regular" w:hAnsi="Merriweather Regular" w:cs="Merriweather Regular"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Bez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Bez"/>
    <w:rPr>
      <w:rFonts w:ascii="Merriweather Regular" w:eastAsia="Merriweather Regular" w:hAnsi="Merriweather Regular" w:cs="Merriweather Regular"/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3">
    <w:name w:val="Hyperlink.3"/>
    <w:basedOn w:val="Bez"/>
    <w:rPr>
      <w:rFonts w:ascii="Merriweather Light" w:eastAsia="Merriweather Light" w:hAnsi="Merriweather Light" w:cs="Merriweather Light"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nij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zornija@unizd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byzantinelegac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antinople.ehw.gr/forms/fmain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Zornija</cp:lastModifiedBy>
  <cp:revision>3</cp:revision>
  <dcterms:created xsi:type="dcterms:W3CDTF">2023-09-13T00:12:00Z</dcterms:created>
  <dcterms:modified xsi:type="dcterms:W3CDTF">2023-09-13T00:15:00Z</dcterms:modified>
</cp:coreProperties>
</file>