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B05E" w14:textId="77777777" w:rsidR="00776B8C" w:rsidRDefault="00000000">
      <w:pPr>
        <w:jc w:val="center"/>
        <w:rPr>
          <w:rFonts w:ascii="Merriweather Bold" w:eastAsia="Merriweather Bold" w:hAnsi="Merriweather Bold" w:cs="Merriweather Bold"/>
          <w:sz w:val="24"/>
          <w:szCs w:val="24"/>
        </w:rPr>
      </w:pPr>
      <w:r>
        <w:rPr>
          <w:rFonts w:ascii="Merriweather Bold" w:hAnsi="Merriweather Bold"/>
          <w:sz w:val="24"/>
          <w:szCs w:val="24"/>
        </w:rPr>
        <w:t>Izvedbeni plan nastave (syllabus)</w:t>
      </w:r>
    </w:p>
    <w:tbl>
      <w:tblPr>
        <w:tblW w:w="905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7"/>
        <w:gridCol w:w="400"/>
        <w:gridCol w:w="366"/>
        <w:gridCol w:w="273"/>
        <w:gridCol w:w="160"/>
        <w:gridCol w:w="160"/>
        <w:gridCol w:w="160"/>
        <w:gridCol w:w="160"/>
        <w:gridCol w:w="160"/>
        <w:gridCol w:w="324"/>
        <w:gridCol w:w="181"/>
        <w:gridCol w:w="263"/>
        <w:gridCol w:w="253"/>
        <w:gridCol w:w="160"/>
        <w:gridCol w:w="385"/>
        <w:gridCol w:w="525"/>
        <w:gridCol w:w="376"/>
        <w:gridCol w:w="160"/>
        <w:gridCol w:w="394"/>
        <w:gridCol w:w="504"/>
        <w:gridCol w:w="161"/>
        <w:gridCol w:w="160"/>
        <w:gridCol w:w="159"/>
        <w:gridCol w:w="160"/>
        <w:gridCol w:w="632"/>
        <w:gridCol w:w="756"/>
      </w:tblGrid>
      <w:tr w:rsidR="00776B8C" w14:paraId="75070EB0" w14:textId="77777777" w:rsidTr="003D168E">
        <w:trPr>
          <w:trHeight w:val="530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7CE02" w14:textId="77777777" w:rsidR="00776B8C" w:rsidRDefault="00000000">
            <w:pPr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Sastavnica</w:t>
            </w:r>
          </w:p>
        </w:tc>
        <w:tc>
          <w:tcPr>
            <w:tcW w:w="486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6DD9F" w14:textId="77777777" w:rsidR="00776B8C" w:rsidRDefault="00000000">
            <w:pPr>
              <w:spacing w:before="20" w:after="20"/>
              <w:jc w:val="center"/>
            </w:pPr>
            <w:r>
              <w:rPr>
                <w:rFonts w:ascii="Merriweather Bold" w:hAnsi="Merriweather Bold"/>
                <w:sz w:val="18"/>
                <w:szCs w:val="18"/>
              </w:rPr>
              <w:t>Odjel za povijest umjetnosti</w:t>
            </w:r>
          </w:p>
        </w:tc>
        <w:tc>
          <w:tcPr>
            <w:tcW w:w="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0EDC3" w14:textId="77777777" w:rsidR="00776B8C" w:rsidRDefault="00000000">
            <w:pPr>
              <w:spacing w:before="20" w:after="20"/>
              <w:jc w:val="center"/>
            </w:pPr>
            <w:r>
              <w:rPr>
                <w:rFonts w:ascii="Merriweather Bold" w:hAnsi="Merriweather Bold"/>
                <w:sz w:val="20"/>
                <w:szCs w:val="20"/>
              </w:rPr>
              <w:t>akad. god.</w:t>
            </w: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E12E1" w14:textId="1B569821" w:rsidR="00776B8C" w:rsidRDefault="00000000">
            <w:pPr>
              <w:spacing w:before="20" w:after="20"/>
              <w:jc w:val="center"/>
            </w:pPr>
            <w:r>
              <w:rPr>
                <w:rFonts w:ascii="Merriweather Regular" w:hAnsi="Merriweather Regular"/>
                <w:sz w:val="18"/>
                <w:szCs w:val="18"/>
              </w:rPr>
              <w:t>202</w:t>
            </w:r>
            <w:r w:rsidR="003D168E">
              <w:rPr>
                <w:rFonts w:ascii="Merriweather Regular" w:hAnsi="Merriweather Regular"/>
                <w:sz w:val="18"/>
                <w:szCs w:val="18"/>
                <w:lang w:val="hr-HR"/>
              </w:rPr>
              <w:t>3</w:t>
            </w:r>
            <w:r>
              <w:rPr>
                <w:rFonts w:ascii="Merriweather Regular" w:hAnsi="Merriweather Regular"/>
                <w:sz w:val="18"/>
                <w:szCs w:val="18"/>
              </w:rPr>
              <w:t>.-202</w:t>
            </w:r>
            <w:r w:rsidR="003D168E">
              <w:rPr>
                <w:rFonts w:ascii="Merriweather Regular" w:hAnsi="Merriweather Regular"/>
                <w:sz w:val="18"/>
                <w:szCs w:val="18"/>
                <w:lang w:val="hr-HR"/>
              </w:rPr>
              <w:t>4</w:t>
            </w:r>
            <w:r>
              <w:rPr>
                <w:rFonts w:ascii="Merriweather Regular" w:hAnsi="Merriweather Regular"/>
                <w:sz w:val="18"/>
                <w:szCs w:val="18"/>
              </w:rPr>
              <w:t>.</w:t>
            </w:r>
          </w:p>
        </w:tc>
      </w:tr>
      <w:tr w:rsidR="00776B8C" w14:paraId="7F218DDE" w14:textId="77777777" w:rsidTr="003D168E">
        <w:trPr>
          <w:trHeight w:val="470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B64AF" w14:textId="77777777" w:rsidR="00776B8C" w:rsidRDefault="00000000">
            <w:pPr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Naziv kolegija</w:t>
            </w:r>
          </w:p>
        </w:tc>
        <w:tc>
          <w:tcPr>
            <w:tcW w:w="486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25308" w14:textId="77777777" w:rsidR="00776B8C" w:rsidRDefault="00000000">
            <w:pPr>
              <w:spacing w:before="20" w:after="20"/>
              <w:jc w:val="center"/>
              <w:rPr>
                <w:rFonts w:ascii="Merriweather Bold" w:eastAsia="Merriweather Bold" w:hAnsi="Merriweather Bold" w:cs="Merriweather Bold"/>
                <w:sz w:val="18"/>
                <w:szCs w:val="18"/>
              </w:rPr>
            </w:pPr>
            <w:r>
              <w:rPr>
                <w:rFonts w:ascii="Merriweather Bold" w:hAnsi="Merriweather Bold"/>
                <w:sz w:val="18"/>
                <w:szCs w:val="18"/>
              </w:rPr>
              <w:t>UMJETNOST RANOG KRŠĆANSTVA I BIZANTA</w:t>
            </w:r>
          </w:p>
          <w:p w14:paraId="2098425C" w14:textId="77777777" w:rsidR="00776B8C" w:rsidRDefault="00000000">
            <w:pPr>
              <w:spacing w:before="20" w:after="20"/>
              <w:jc w:val="center"/>
            </w:pPr>
            <w:r>
              <w:rPr>
                <w:rFonts w:ascii="Merriweather Bold" w:hAnsi="Merriweather Bold"/>
                <w:sz w:val="18"/>
                <w:szCs w:val="18"/>
              </w:rPr>
              <w:t>(PUJ 203)</w:t>
            </w:r>
          </w:p>
        </w:tc>
        <w:tc>
          <w:tcPr>
            <w:tcW w:w="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67ED8" w14:textId="77777777" w:rsidR="00776B8C" w:rsidRDefault="00000000">
            <w:pPr>
              <w:spacing w:before="20" w:after="20"/>
              <w:jc w:val="center"/>
            </w:pPr>
            <w:r>
              <w:rPr>
                <w:rFonts w:ascii="Merriweather Bold" w:hAnsi="Merriweather Bold"/>
                <w:sz w:val="20"/>
                <w:szCs w:val="20"/>
              </w:rPr>
              <w:t>ECTS</w:t>
            </w: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CD985" w14:textId="77777777" w:rsidR="00776B8C" w:rsidRDefault="00000000">
            <w:pPr>
              <w:spacing w:before="20" w:after="20"/>
              <w:jc w:val="center"/>
            </w:pPr>
            <w:r>
              <w:rPr>
                <w:rFonts w:ascii="Merriweather Regular" w:hAnsi="Merriweather Regular"/>
                <w:sz w:val="18"/>
                <w:szCs w:val="18"/>
              </w:rPr>
              <w:t>8</w:t>
            </w:r>
          </w:p>
        </w:tc>
      </w:tr>
      <w:tr w:rsidR="00776B8C" w14:paraId="5BCA63C2" w14:textId="77777777" w:rsidTr="003D168E">
        <w:trPr>
          <w:trHeight w:val="270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C7396" w14:textId="77777777" w:rsidR="00776B8C" w:rsidRDefault="00000000">
            <w:pPr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Naziv studija</w:t>
            </w:r>
          </w:p>
        </w:tc>
        <w:tc>
          <w:tcPr>
            <w:tcW w:w="739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B17BD" w14:textId="77777777" w:rsidR="00776B8C" w:rsidRDefault="00000000">
            <w:pPr>
              <w:spacing w:before="20" w:after="20"/>
              <w:jc w:val="center"/>
            </w:pPr>
            <w:r>
              <w:rPr>
                <w:rFonts w:ascii="Merriweather Bold" w:hAnsi="Merriweather Bold"/>
                <w:sz w:val="18"/>
                <w:szCs w:val="18"/>
              </w:rPr>
              <w:t>Preddiplomski jednopredmetni sveučilišni studij povijesti umjetnosti</w:t>
            </w:r>
          </w:p>
        </w:tc>
      </w:tr>
      <w:tr w:rsidR="00776B8C" w14:paraId="40883A12" w14:textId="77777777" w:rsidTr="003D168E">
        <w:trPr>
          <w:trHeight w:val="270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1E8DB" w14:textId="77777777" w:rsidR="00776B8C" w:rsidRDefault="00000000">
            <w:pPr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Razina studija</w:t>
            </w:r>
          </w:p>
        </w:tc>
        <w:tc>
          <w:tcPr>
            <w:tcW w:w="18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F2288" w14:textId="77777777" w:rsidR="00776B8C" w:rsidRDefault="00000000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 Bold" w:hAnsi="Merriweather Bold"/>
                <w:sz w:val="18"/>
                <w:szCs w:val="18"/>
              </w:rPr>
              <w:t>x preddiplomski</w:t>
            </w:r>
          </w:p>
        </w:tc>
        <w:tc>
          <w:tcPr>
            <w:tcW w:w="1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C7061" w14:textId="77777777" w:rsidR="00776B8C" w:rsidRDefault="00000000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diplomski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0232F" w14:textId="77777777" w:rsidR="00776B8C" w:rsidRDefault="00000000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integrirani</w:t>
            </w:r>
          </w:p>
        </w:tc>
        <w:tc>
          <w:tcPr>
            <w:tcW w:w="2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2BC22" w14:textId="77777777" w:rsidR="00776B8C" w:rsidRDefault="00000000">
            <w:pPr>
              <w:spacing w:before="20" w:after="2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poslijediplomski</w:t>
            </w:r>
          </w:p>
        </w:tc>
      </w:tr>
      <w:tr w:rsidR="00776B8C" w14:paraId="01703FA9" w14:textId="77777777" w:rsidTr="003D168E">
        <w:trPr>
          <w:trHeight w:val="270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89696" w14:textId="77777777" w:rsidR="00776B8C" w:rsidRDefault="00000000">
            <w:pPr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Godina studija</w:t>
            </w:r>
          </w:p>
        </w:tc>
        <w:tc>
          <w:tcPr>
            <w:tcW w:w="1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5CE5C" w14:textId="77777777" w:rsidR="00776B8C" w:rsidRDefault="00000000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 Bold" w:hAnsi="Merriweather Bold"/>
                <w:sz w:val="18"/>
                <w:szCs w:val="18"/>
              </w:rPr>
              <w:t>x 1.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A7F67" w14:textId="77777777" w:rsidR="00776B8C" w:rsidRDefault="00000000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2.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68669" w14:textId="77777777" w:rsidR="00776B8C" w:rsidRDefault="00000000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3.</w:t>
            </w:r>
          </w:p>
        </w:tc>
        <w:tc>
          <w:tcPr>
            <w:tcW w:w="1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F2483" w14:textId="77777777" w:rsidR="00776B8C" w:rsidRDefault="00000000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4.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8A28A" w14:textId="77777777" w:rsidR="00776B8C" w:rsidRDefault="00000000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5.</w:t>
            </w:r>
          </w:p>
        </w:tc>
      </w:tr>
      <w:tr w:rsidR="00776B8C" w14:paraId="0613F164" w14:textId="77777777" w:rsidTr="003D168E">
        <w:trPr>
          <w:trHeight w:val="485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6DA5C" w14:textId="77777777" w:rsidR="00776B8C" w:rsidRDefault="00000000">
            <w:pPr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Semestar</w:t>
            </w:r>
          </w:p>
        </w:tc>
        <w:tc>
          <w:tcPr>
            <w:tcW w:w="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3DC75" w14:textId="77777777" w:rsidR="00776B8C" w:rsidRDefault="000000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Bold" w:eastAsia="Merriweather Bold" w:hAnsi="Merriweather Bold" w:cs="Merriweather Bold"/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 Bold" w:hAnsi="Merriweather Bold"/>
                <w:sz w:val="18"/>
                <w:szCs w:val="18"/>
              </w:rPr>
              <w:t xml:space="preserve"> </w:t>
            </w:r>
            <w:r>
              <w:rPr>
                <w:rFonts w:ascii="Merriweather Regular" w:hAnsi="Merriweather Regular"/>
                <w:sz w:val="18"/>
                <w:szCs w:val="18"/>
              </w:rPr>
              <w:t>zimski</w:t>
            </w:r>
          </w:p>
          <w:p w14:paraId="2F9D3C10" w14:textId="77777777" w:rsidR="00776B8C" w:rsidRDefault="00000000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 Bold" w:hAnsi="Merriweather Bold"/>
                <w:sz w:val="18"/>
                <w:szCs w:val="18"/>
              </w:rPr>
              <w:t>x ljetni</w:t>
            </w:r>
          </w:p>
        </w:tc>
        <w:tc>
          <w:tcPr>
            <w:tcW w:w="1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5F732" w14:textId="77777777" w:rsidR="00776B8C" w:rsidRDefault="00000000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I.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91AA5" w14:textId="77777777" w:rsidR="00776B8C" w:rsidRDefault="00000000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 Bold" w:hAnsi="Merriweather Bold"/>
                <w:sz w:val="18"/>
                <w:szCs w:val="18"/>
              </w:rPr>
              <w:t>x II.</w:t>
            </w: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011D8" w14:textId="77777777" w:rsidR="00776B8C" w:rsidRDefault="00000000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III.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96682" w14:textId="77777777" w:rsidR="00776B8C" w:rsidRDefault="00000000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IV.</w:t>
            </w:r>
          </w:p>
        </w:tc>
        <w:tc>
          <w:tcPr>
            <w:tcW w:w="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E574E" w14:textId="77777777" w:rsidR="00776B8C" w:rsidRDefault="00000000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 Regular" w:hAnsi="Merriweather Regular"/>
                <w:sz w:val="18"/>
                <w:szCs w:val="18"/>
              </w:rPr>
              <w:t>X V.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80927" w14:textId="77777777" w:rsidR="00776B8C" w:rsidRDefault="00000000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VI.</w:t>
            </w:r>
          </w:p>
        </w:tc>
      </w:tr>
      <w:tr w:rsidR="00776B8C" w14:paraId="137D79D9" w14:textId="77777777" w:rsidTr="003D168E">
        <w:trPr>
          <w:trHeight w:val="685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04319" w14:textId="77777777" w:rsidR="00776B8C" w:rsidRDefault="00000000">
            <w:pPr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Status kolegija</w:t>
            </w:r>
          </w:p>
        </w:tc>
        <w:tc>
          <w:tcPr>
            <w:tcW w:w="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AF1A5" w14:textId="77777777" w:rsidR="00776B8C" w:rsidRDefault="00000000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 Bold" w:hAnsi="Merriweather Bold"/>
                <w:sz w:val="18"/>
                <w:szCs w:val="18"/>
              </w:rPr>
              <w:t>x obvezni kolegij</w:t>
            </w:r>
          </w:p>
        </w:tc>
        <w:tc>
          <w:tcPr>
            <w:tcW w:w="1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51F6F" w14:textId="77777777" w:rsidR="00776B8C" w:rsidRDefault="00000000">
            <w:pPr>
              <w:spacing w:before="20" w:after="2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izborni kolegij</w:t>
            </w:r>
          </w:p>
        </w:tc>
        <w:tc>
          <w:tcPr>
            <w:tcW w:w="2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3ACA8" w14:textId="77777777" w:rsidR="00776B8C" w:rsidRDefault="00000000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37FDF" w14:textId="77777777" w:rsidR="00776B8C" w:rsidRDefault="00000000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 Bold" w:hAnsi="Merriweather Bold"/>
                <w:sz w:val="20"/>
                <w:szCs w:val="20"/>
              </w:rPr>
              <w:t>Nastavničke kompetencije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D7BDB" w14:textId="77777777" w:rsidR="00776B8C" w:rsidRDefault="000000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DA</w:t>
            </w:r>
          </w:p>
          <w:p w14:paraId="58356556" w14:textId="77777777" w:rsidR="00776B8C" w:rsidRDefault="00000000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 Bold" w:hAnsi="Merriweather Bold"/>
                <w:sz w:val="18"/>
                <w:szCs w:val="18"/>
              </w:rPr>
              <w:t>x NE</w:t>
            </w:r>
          </w:p>
        </w:tc>
      </w:tr>
      <w:tr w:rsidR="00776B8C" w14:paraId="5488F66A" w14:textId="77777777" w:rsidTr="003D168E">
        <w:trPr>
          <w:trHeight w:val="270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838FF" w14:textId="77777777" w:rsidR="00776B8C" w:rsidRDefault="00000000">
            <w:pPr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Opterećenje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F6D32" w14:textId="77777777" w:rsidR="00776B8C" w:rsidRDefault="00000000">
            <w:pPr>
              <w:spacing w:before="20" w:after="20"/>
              <w:jc w:val="center"/>
            </w:pPr>
            <w:r>
              <w:rPr>
                <w:rFonts w:ascii="Merriweather Regular" w:hAnsi="Merriweather Regular"/>
                <w:sz w:val="18"/>
                <w:szCs w:val="18"/>
              </w:rPr>
              <w:t>30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CF9D8" w14:textId="77777777" w:rsidR="00776B8C" w:rsidRDefault="00000000">
            <w:pPr>
              <w:spacing w:before="20" w:after="20"/>
              <w:jc w:val="center"/>
            </w:pPr>
            <w:r>
              <w:rPr>
                <w:rFonts w:ascii="Merriweather Bold" w:hAnsi="Merriweather Bold"/>
                <w:sz w:val="18"/>
                <w:szCs w:val="18"/>
              </w:rPr>
              <w:t>P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9B5C6" w14:textId="77777777" w:rsidR="00776B8C" w:rsidRDefault="00000000">
            <w:pPr>
              <w:spacing w:before="20" w:after="20"/>
              <w:jc w:val="center"/>
            </w:pPr>
            <w:r>
              <w:rPr>
                <w:rFonts w:ascii="Merriweather Regular" w:hAnsi="Merriweather Regular"/>
                <w:sz w:val="18"/>
                <w:szCs w:val="18"/>
              </w:rPr>
              <w:t>30</w:t>
            </w: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F52C3" w14:textId="77777777" w:rsidR="00776B8C" w:rsidRDefault="00000000">
            <w:pPr>
              <w:spacing w:before="20" w:after="20"/>
              <w:jc w:val="center"/>
            </w:pPr>
            <w:r>
              <w:rPr>
                <w:rFonts w:ascii="Merriweather Bold" w:hAnsi="Merriweather Bold"/>
                <w:sz w:val="18"/>
                <w:szCs w:val="18"/>
              </w:rPr>
              <w:t>S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6B08B" w14:textId="77777777" w:rsidR="00776B8C" w:rsidRDefault="00000000">
            <w:pPr>
              <w:spacing w:before="20" w:after="20"/>
              <w:jc w:val="center"/>
            </w:pPr>
            <w:r>
              <w:rPr>
                <w:rFonts w:ascii="Merriweather Regular" w:hAnsi="Merriweather Regular"/>
                <w:sz w:val="18"/>
                <w:szCs w:val="18"/>
              </w:rPr>
              <w:t>-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FBD0F" w14:textId="77777777" w:rsidR="00776B8C" w:rsidRDefault="00000000">
            <w:pPr>
              <w:spacing w:before="20" w:after="20"/>
              <w:jc w:val="center"/>
            </w:pPr>
            <w:r>
              <w:rPr>
                <w:rFonts w:ascii="Merriweather Bold" w:hAnsi="Merriweather Bold"/>
                <w:sz w:val="18"/>
                <w:szCs w:val="18"/>
              </w:rPr>
              <w:t>V</w:t>
            </w:r>
          </w:p>
        </w:tc>
        <w:tc>
          <w:tcPr>
            <w:tcW w:w="29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4A5E4" w14:textId="77777777" w:rsidR="00776B8C" w:rsidRDefault="00000000">
            <w:pPr>
              <w:spacing w:before="20" w:after="20"/>
              <w:jc w:val="center"/>
            </w:pPr>
            <w:r>
              <w:rPr>
                <w:rFonts w:ascii="Merriweather Bold" w:hAnsi="Merriweather Bold"/>
                <w:sz w:val="20"/>
                <w:szCs w:val="20"/>
              </w:rPr>
              <w:t>Mrežne stranice kolegija</w:t>
            </w:r>
          </w:p>
        </w:tc>
        <w:tc>
          <w:tcPr>
            <w:tcW w:w="1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CF392" w14:textId="77777777" w:rsidR="00776B8C" w:rsidRDefault="00000000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 Bold" w:hAnsi="Merriweather Bold"/>
                <w:sz w:val="18"/>
                <w:szCs w:val="18"/>
              </w:rPr>
              <w:t>x DA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 </w:t>
            </w: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NE</w:t>
            </w:r>
          </w:p>
        </w:tc>
      </w:tr>
      <w:tr w:rsidR="003D168E" w14:paraId="2DE36AA1" w14:textId="77777777" w:rsidTr="003D168E">
        <w:trPr>
          <w:trHeight w:val="1050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21A33" w14:textId="77777777" w:rsidR="003D168E" w:rsidRDefault="003D168E" w:rsidP="003D168E">
            <w:pPr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Mjesto i vrijeme izvođenja nastave</w:t>
            </w:r>
          </w:p>
        </w:tc>
        <w:tc>
          <w:tcPr>
            <w:tcW w:w="26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BDB00" w14:textId="77777777" w:rsidR="003D168E" w:rsidRDefault="003D168E" w:rsidP="003D168E">
            <w:pPr>
              <w:spacing w:before="20" w:after="20"/>
              <w:jc w:val="center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>dv. 113;</w:t>
            </w:r>
          </w:p>
          <w:p w14:paraId="126FA6F0" w14:textId="5D6D3669" w:rsidR="003D168E" w:rsidRPr="003D168E" w:rsidRDefault="003D168E" w:rsidP="003D168E">
            <w:pPr>
              <w:spacing w:before="20" w:after="20"/>
              <w:jc w:val="center"/>
              <w:rPr>
                <w:lang w:val="hr-HR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hr-HR"/>
              </w:rPr>
              <w:t>bit će objavljeno na webu</w:t>
            </w:r>
          </w:p>
        </w:tc>
        <w:tc>
          <w:tcPr>
            <w:tcW w:w="2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3F19E" w14:textId="77777777" w:rsidR="003D168E" w:rsidRDefault="003D168E" w:rsidP="003D168E">
            <w:pPr>
              <w:spacing w:before="20" w:after="20"/>
              <w:jc w:val="center"/>
            </w:pPr>
            <w:r>
              <w:rPr>
                <w:rFonts w:ascii="Merriweather Bold" w:hAnsi="Merriweather Bold"/>
                <w:sz w:val="20"/>
                <w:szCs w:val="20"/>
              </w:rPr>
              <w:t>Jezik/jezici na kojima se izvodi kolegij</w:t>
            </w:r>
          </w:p>
        </w:tc>
        <w:tc>
          <w:tcPr>
            <w:tcW w:w="2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92F95" w14:textId="77777777" w:rsidR="003D168E" w:rsidRDefault="003D168E" w:rsidP="003D168E">
            <w:pPr>
              <w:spacing w:before="20" w:after="20"/>
              <w:jc w:val="center"/>
            </w:pPr>
            <w:r>
              <w:rPr>
                <w:rFonts w:ascii="Merriweather Regular" w:hAnsi="Merriweather Regular"/>
                <w:sz w:val="18"/>
                <w:szCs w:val="18"/>
              </w:rPr>
              <w:t>hrvatski</w:t>
            </w:r>
          </w:p>
        </w:tc>
      </w:tr>
      <w:tr w:rsidR="003D168E" w14:paraId="21C241D2" w14:textId="77777777" w:rsidTr="003D168E">
        <w:trPr>
          <w:trHeight w:val="530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E73F0" w14:textId="77777777" w:rsidR="003D168E" w:rsidRDefault="003D168E" w:rsidP="003D168E">
            <w:pPr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Početak nastave</w:t>
            </w:r>
          </w:p>
        </w:tc>
        <w:tc>
          <w:tcPr>
            <w:tcW w:w="26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63282AB" w14:textId="7494AF2B" w:rsidR="003D168E" w:rsidRDefault="003D168E" w:rsidP="003D168E">
            <w:pPr>
              <w:tabs>
                <w:tab w:val="left" w:pos="1218"/>
              </w:tabs>
              <w:spacing w:before="20" w:after="20"/>
              <w:ind w:left="360"/>
              <w:jc w:val="center"/>
            </w:pPr>
            <w:r>
              <w:rPr>
                <w:rFonts w:ascii="Merriweather Regular" w:hAnsi="Merriweather Regular"/>
                <w:sz w:val="18"/>
                <w:szCs w:val="18"/>
                <w:lang w:val="hr-HR"/>
              </w:rPr>
              <w:t>26. 2</w:t>
            </w:r>
            <w:r>
              <w:rPr>
                <w:rFonts w:ascii="Merriweather Regular" w:hAnsi="Merriweather Regular"/>
                <w:sz w:val="18"/>
                <w:szCs w:val="18"/>
              </w:rPr>
              <w:t>. 202</w:t>
            </w:r>
            <w:r>
              <w:rPr>
                <w:rFonts w:ascii="Merriweather Regular" w:hAnsi="Merriweather Regular"/>
                <w:sz w:val="18"/>
                <w:szCs w:val="18"/>
                <w:lang w:val="hr-HR"/>
              </w:rPr>
              <w:t>4</w:t>
            </w:r>
            <w:r>
              <w:rPr>
                <w:rFonts w:ascii="Merriweather Regular" w:hAnsi="Merriweather Regular"/>
                <w:sz w:val="18"/>
                <w:szCs w:val="18"/>
              </w:rPr>
              <w:t>.</w:t>
            </w:r>
          </w:p>
        </w:tc>
        <w:tc>
          <w:tcPr>
            <w:tcW w:w="2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BDB14" w14:textId="77777777" w:rsidR="003D168E" w:rsidRDefault="003D168E" w:rsidP="003D168E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 Bold" w:hAnsi="Merriweather Bold"/>
                <w:sz w:val="20"/>
                <w:szCs w:val="20"/>
              </w:rPr>
              <w:t>Završetak nastave</w:t>
            </w:r>
          </w:p>
        </w:tc>
        <w:tc>
          <w:tcPr>
            <w:tcW w:w="2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0329B" w14:textId="3448F516" w:rsidR="003D168E" w:rsidRDefault="003D168E" w:rsidP="003D168E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 Regular" w:hAnsi="Merriweather Regular"/>
                <w:sz w:val="18"/>
                <w:szCs w:val="18"/>
              </w:rPr>
              <w:t>7. 6. 202</w:t>
            </w:r>
            <w:r>
              <w:rPr>
                <w:rFonts w:ascii="Merriweather Regular" w:hAnsi="Merriweather Regular"/>
                <w:sz w:val="18"/>
                <w:szCs w:val="18"/>
                <w:lang w:val="hr-HR"/>
              </w:rPr>
              <w:t>4</w:t>
            </w:r>
            <w:r>
              <w:rPr>
                <w:rFonts w:ascii="Merriweather Regular" w:hAnsi="Merriweather Regular"/>
                <w:sz w:val="18"/>
                <w:szCs w:val="18"/>
              </w:rPr>
              <w:t>.</w:t>
            </w:r>
          </w:p>
        </w:tc>
      </w:tr>
      <w:tr w:rsidR="003D168E" w14:paraId="62737C47" w14:textId="77777777" w:rsidTr="003D168E">
        <w:trPr>
          <w:trHeight w:val="530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3E324" w14:textId="77777777" w:rsidR="003D168E" w:rsidRDefault="003D168E" w:rsidP="003D168E">
            <w:pPr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Preduvjeti za upis</w:t>
            </w:r>
          </w:p>
        </w:tc>
        <w:tc>
          <w:tcPr>
            <w:tcW w:w="739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DAB59" w14:textId="77777777" w:rsidR="003D168E" w:rsidRDefault="003D168E" w:rsidP="003D168E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upisan studij povijesti umjetnosti</w:t>
            </w:r>
          </w:p>
        </w:tc>
      </w:tr>
      <w:tr w:rsidR="003D168E" w14:paraId="033D147A" w14:textId="77777777">
        <w:trPr>
          <w:trHeight w:val="270"/>
          <w:jc w:val="center"/>
        </w:trPr>
        <w:tc>
          <w:tcPr>
            <w:tcW w:w="905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38EE2" w14:textId="77777777" w:rsidR="003D168E" w:rsidRDefault="003D168E" w:rsidP="003D168E"/>
        </w:tc>
      </w:tr>
      <w:tr w:rsidR="003D168E" w14:paraId="7342D4C9" w14:textId="77777777" w:rsidTr="003D168E">
        <w:trPr>
          <w:trHeight w:val="530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72B6A" w14:textId="77777777" w:rsidR="003D168E" w:rsidRDefault="003D168E" w:rsidP="003D168E">
            <w:pPr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Nositelj kolegija</w:t>
            </w:r>
          </w:p>
        </w:tc>
        <w:tc>
          <w:tcPr>
            <w:tcW w:w="739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969F6" w14:textId="77777777" w:rsidR="003D168E" w:rsidRDefault="003D168E" w:rsidP="003D168E">
            <w:pPr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doc. dr. sc. Meri Zornija</w:t>
            </w:r>
          </w:p>
        </w:tc>
      </w:tr>
      <w:tr w:rsidR="003D168E" w14:paraId="50BF2E89" w14:textId="77777777" w:rsidTr="003D168E">
        <w:trPr>
          <w:trHeight w:val="450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A1BBA" w14:textId="77777777" w:rsidR="003D168E" w:rsidRDefault="003D168E" w:rsidP="003D168E">
            <w:pPr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E-mail</w:t>
            </w:r>
          </w:p>
        </w:tc>
        <w:tc>
          <w:tcPr>
            <w:tcW w:w="34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6A062" w14:textId="77777777" w:rsidR="003D168E" w:rsidRDefault="003D168E" w:rsidP="003D168E">
            <w:pPr>
              <w:tabs>
                <w:tab w:val="left" w:pos="1218"/>
              </w:tabs>
              <w:spacing w:before="20" w:after="20"/>
            </w:pPr>
            <w:hyperlink r:id="rId7" w:history="1">
              <w:r>
                <w:rPr>
                  <w:rStyle w:val="Hyperlink0"/>
                  <w:rFonts w:ascii="Merriweather Regular" w:hAnsi="Merriweather Regular"/>
                  <w:sz w:val="18"/>
                  <w:szCs w:val="18"/>
                </w:rPr>
                <w:t>mezornija@unizd.hr</w:t>
              </w:r>
            </w:hyperlink>
            <w:r>
              <w:rPr>
                <w:rFonts w:ascii="Merriweather Regular" w:hAnsi="Merriweather Regular"/>
                <w:sz w:val="18"/>
                <w:szCs w:val="18"/>
              </w:rPr>
              <w:t xml:space="preserve"> ; </w:t>
            </w:r>
            <w:hyperlink r:id="rId8" w:history="1">
              <w:r>
                <w:rPr>
                  <w:rStyle w:val="Hyperlink0"/>
                  <w:rFonts w:ascii="Merriweather Regular" w:hAnsi="Merriweather Regular"/>
                  <w:sz w:val="18"/>
                  <w:szCs w:val="18"/>
                </w:rPr>
                <w:t>zornija@gmail.com</w:t>
              </w:r>
            </w:hyperlink>
            <w:r>
              <w:rPr>
                <w:rFonts w:ascii="Merriweather Regular" w:hAnsi="Merriweather Regular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3CC70" w14:textId="77777777" w:rsidR="003D168E" w:rsidRDefault="003D168E" w:rsidP="003D168E">
            <w:pPr>
              <w:tabs>
                <w:tab w:val="left" w:pos="1218"/>
              </w:tabs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Konzultacije</w:t>
            </w:r>
          </w:p>
        </w:tc>
        <w:tc>
          <w:tcPr>
            <w:tcW w:w="2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68955" w14:textId="77777777" w:rsidR="003D168E" w:rsidRDefault="003D168E" w:rsidP="003D168E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 Regular" w:hAnsi="Merriweather Regular"/>
                <w:sz w:val="18"/>
                <w:szCs w:val="18"/>
                <w:shd w:val="clear" w:color="auto" w:fill="FFFFFF"/>
              </w:rPr>
              <w:t>srijedom, 13-14 sati</w:t>
            </w:r>
          </w:p>
        </w:tc>
      </w:tr>
      <w:tr w:rsidR="003D168E" w14:paraId="5D78DBED" w14:textId="77777777" w:rsidTr="003D168E">
        <w:trPr>
          <w:trHeight w:val="530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92180" w14:textId="77777777" w:rsidR="003D168E" w:rsidRDefault="003D168E" w:rsidP="003D168E">
            <w:pPr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Izvođač kolegija</w:t>
            </w:r>
          </w:p>
        </w:tc>
        <w:tc>
          <w:tcPr>
            <w:tcW w:w="739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6FC46" w14:textId="77777777" w:rsidR="003D168E" w:rsidRDefault="003D168E" w:rsidP="003D168E">
            <w:pPr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doc. dr. sc. Meri Zornija</w:t>
            </w:r>
          </w:p>
        </w:tc>
      </w:tr>
      <w:tr w:rsidR="003D168E" w14:paraId="2C0F65C4" w14:textId="77777777">
        <w:trPr>
          <w:trHeight w:val="230"/>
          <w:jc w:val="center"/>
        </w:trPr>
        <w:tc>
          <w:tcPr>
            <w:tcW w:w="905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9EC6B" w14:textId="77777777" w:rsidR="003D168E" w:rsidRDefault="003D168E" w:rsidP="003D168E"/>
        </w:tc>
      </w:tr>
      <w:tr w:rsidR="003D168E" w14:paraId="4E90F27E" w14:textId="77777777" w:rsidTr="003D168E">
        <w:trPr>
          <w:trHeight w:val="465"/>
          <w:jc w:val="center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FE013" w14:textId="77777777" w:rsidR="003D168E" w:rsidRDefault="003D168E" w:rsidP="003D168E">
            <w:pPr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Vrste izvođenja nastave</w:t>
            </w:r>
          </w:p>
        </w:tc>
        <w:tc>
          <w:tcPr>
            <w:tcW w:w="1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43660" w14:textId="77777777" w:rsidR="003D168E" w:rsidRDefault="003D168E" w:rsidP="003D168E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 Bold" w:hAnsi="Merriweather Bold"/>
                <w:sz w:val="18"/>
                <w:szCs w:val="18"/>
              </w:rPr>
              <w:t>x predavanja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6A73C" w14:textId="77777777" w:rsidR="003D168E" w:rsidRDefault="003D168E" w:rsidP="003D168E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Segoe UI Symbol" w:eastAsia="Segoe UI Symbol" w:hAnsi="Segoe UI Symbol" w:cs="Segoe UI Symbol"/>
                <w:b/>
                <w:bCs/>
                <w:sz w:val="18"/>
                <w:szCs w:val="18"/>
              </w:rPr>
              <w:t xml:space="preserve">x </w:t>
            </w:r>
            <w:r>
              <w:rPr>
                <w:rFonts w:ascii="Merriweather Bold" w:hAnsi="Merriweather Bold"/>
                <w:sz w:val="18"/>
                <w:szCs w:val="18"/>
              </w:rPr>
              <w:t xml:space="preserve"> seminari i radionice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AA901" w14:textId="77777777" w:rsidR="003D168E" w:rsidRDefault="003D168E" w:rsidP="003D168E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vježbe</w:t>
            </w:r>
          </w:p>
        </w:tc>
        <w:tc>
          <w:tcPr>
            <w:tcW w:w="1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236BF" w14:textId="77777777" w:rsidR="003D168E" w:rsidRDefault="003D168E" w:rsidP="003D168E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B1DBE" w14:textId="77777777" w:rsidR="003D168E" w:rsidRDefault="003D168E" w:rsidP="003D168E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terenska nastava</w:t>
            </w:r>
          </w:p>
        </w:tc>
      </w:tr>
      <w:tr w:rsidR="003D168E" w14:paraId="374AFC66" w14:textId="77777777" w:rsidTr="003D168E">
        <w:trPr>
          <w:trHeight w:val="465"/>
          <w:jc w:val="center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B397FA" w14:textId="77777777" w:rsidR="003D168E" w:rsidRDefault="003D168E" w:rsidP="003D168E"/>
        </w:tc>
        <w:tc>
          <w:tcPr>
            <w:tcW w:w="1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A213E" w14:textId="77777777" w:rsidR="003D168E" w:rsidRDefault="003D168E" w:rsidP="003D168E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 samostalni zadaci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A360A" w14:textId="77777777" w:rsidR="003D168E" w:rsidRDefault="003D168E" w:rsidP="003D168E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multimedija i mreža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81AC4" w14:textId="77777777" w:rsidR="003D168E" w:rsidRDefault="003D168E" w:rsidP="003D168E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laboratorij</w:t>
            </w:r>
          </w:p>
        </w:tc>
        <w:tc>
          <w:tcPr>
            <w:tcW w:w="1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791DD" w14:textId="77777777" w:rsidR="003D168E" w:rsidRDefault="003D168E" w:rsidP="003D168E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mentorski rad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3C21F" w14:textId="77777777" w:rsidR="003D168E" w:rsidRDefault="003D168E" w:rsidP="003D168E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ostalo</w:t>
            </w:r>
          </w:p>
        </w:tc>
      </w:tr>
      <w:tr w:rsidR="003D168E" w14:paraId="23A75B3B" w14:textId="77777777" w:rsidTr="003D168E">
        <w:trPr>
          <w:trHeight w:val="2870"/>
          <w:jc w:val="center"/>
        </w:trPr>
        <w:tc>
          <w:tcPr>
            <w:tcW w:w="31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1A66D" w14:textId="77777777" w:rsidR="003D168E" w:rsidRDefault="003D168E" w:rsidP="003D168E">
            <w:pPr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lastRenderedPageBreak/>
              <w:t>Ishodi učenja kolegija</w:t>
            </w:r>
          </w:p>
        </w:tc>
        <w:tc>
          <w:tcPr>
            <w:tcW w:w="587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14:paraId="6A1A877A" w14:textId="77777777" w:rsidR="003D168E" w:rsidRDefault="003D168E" w:rsidP="003D168E">
            <w:pPr>
              <w:spacing w:before="0" w:after="0"/>
              <w:ind w:left="28"/>
              <w:rPr>
                <w:rFonts w:ascii="Merriweather Regular" w:eastAsia="Merriweather Regular" w:hAnsi="Merriweather Regular" w:cs="Merriweather Regular"/>
                <w:sz w:val="20"/>
                <w:szCs w:val="20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- identificiranje temeljnih karakteristika stila ranokršćanskog i bizantskog razdoblja i komentiranje putem korištenja ilustrativnog materijala;</w:t>
            </w:r>
          </w:p>
          <w:p w14:paraId="16CC3208" w14:textId="77777777" w:rsidR="003D168E" w:rsidRDefault="003D168E" w:rsidP="003D168E">
            <w:pPr>
              <w:spacing w:before="0" w:after="0"/>
              <w:ind w:left="28"/>
              <w:rPr>
                <w:rFonts w:ascii="Merriweather Regular" w:eastAsia="Merriweather Regular" w:hAnsi="Merriweather Regular" w:cs="Merriweather Regular"/>
                <w:sz w:val="20"/>
                <w:szCs w:val="20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- analiziranje i kritička prosudba likovnih djela i arhitekture razdoblja uz primjenu relevantnih znanja i vještina stečenih na dotičnom kolegiju;</w:t>
            </w:r>
          </w:p>
          <w:p w14:paraId="32A82729" w14:textId="77777777" w:rsidR="003D168E" w:rsidRDefault="003D168E" w:rsidP="003D168E">
            <w:pPr>
              <w:spacing w:before="0" w:after="0"/>
              <w:ind w:left="28"/>
              <w:rPr>
                <w:rFonts w:ascii="Merriweather Regular" w:eastAsia="Merriweather Regular" w:hAnsi="Merriweather Regular" w:cs="Merriweather Regular"/>
                <w:sz w:val="20"/>
                <w:szCs w:val="20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- sposobnost razumijevanja i objašnjenja osnovnih likovnih i arhitektonskih fenomena razdoblja;</w:t>
            </w:r>
          </w:p>
          <w:p w14:paraId="77F329F5" w14:textId="77777777" w:rsidR="003D168E" w:rsidRDefault="003D168E" w:rsidP="003D168E">
            <w:pPr>
              <w:spacing w:before="0" w:after="0"/>
              <w:ind w:left="28"/>
              <w:rPr>
                <w:rFonts w:ascii="Merriweather Regular" w:eastAsia="Merriweather Regular" w:hAnsi="Merriweather Regular" w:cs="Merriweather Regular"/>
                <w:sz w:val="20"/>
                <w:szCs w:val="20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- klasificiranje građe kolegija u jasne opisne kategorije vezane uz ranokršćansku i bizantsku umjetnost;</w:t>
            </w:r>
          </w:p>
          <w:p w14:paraId="469D8295" w14:textId="77777777" w:rsidR="003D168E" w:rsidRDefault="003D168E" w:rsidP="003D168E">
            <w:pPr>
              <w:spacing w:before="0" w:after="0"/>
              <w:jc w:val="both"/>
            </w:pP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- samostalna priprema i prezentiranje seminarske teme na pismeni i usmeni način prema unaprijed određenoj metodologiji.</w:t>
            </w:r>
          </w:p>
        </w:tc>
      </w:tr>
      <w:tr w:rsidR="003D168E" w14:paraId="7266C0F9" w14:textId="77777777" w:rsidTr="003D168E">
        <w:trPr>
          <w:trHeight w:val="690"/>
          <w:jc w:val="center"/>
        </w:trPr>
        <w:tc>
          <w:tcPr>
            <w:tcW w:w="31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3BCC0" w14:textId="77777777" w:rsidR="003D168E" w:rsidRDefault="003D168E" w:rsidP="003D168E">
            <w:pPr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Ishodi učenja na razini programa</w:t>
            </w:r>
          </w:p>
        </w:tc>
        <w:tc>
          <w:tcPr>
            <w:tcW w:w="587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D4EB9" w14:textId="77777777" w:rsidR="003D168E" w:rsidRPr="003D168E" w:rsidRDefault="003D168E" w:rsidP="003D168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Arial"/>
                <w:color w:val="auto"/>
                <w:sz w:val="18"/>
                <w:szCs w:val="18"/>
                <w:shd w:val="clear" w:color="auto" w:fill="FFFFFF"/>
                <w:lang w:val="hr-HR"/>
              </w:rPr>
            </w:pPr>
            <w:r w:rsidRPr="003D168E">
              <w:rPr>
                <w:rFonts w:ascii="Merriweather" w:hAnsi="Merriweather" w:cs="Arial"/>
                <w:color w:val="auto"/>
                <w:sz w:val="18"/>
                <w:szCs w:val="18"/>
                <w:shd w:val="clear" w:color="auto" w:fill="FFFFFF"/>
                <w:lang w:val="hr-HR"/>
              </w:rPr>
              <w:t>- N</w:t>
            </w:r>
            <w:r w:rsidRPr="003D168E">
              <w:rPr>
                <w:rFonts w:ascii="Merriweather" w:hAnsi="Merriweather" w:cs="Arial"/>
                <w:color w:val="auto"/>
                <w:sz w:val="18"/>
                <w:szCs w:val="18"/>
                <w:shd w:val="clear" w:color="auto" w:fill="FFFFFF"/>
              </w:rPr>
              <w:t>aučiti identificirati temeljne karakteristike stila u djelima likovnih umjetnosti i arhitekture pojedinog stilskog razdoblja</w:t>
            </w:r>
            <w:r w:rsidRPr="003D168E">
              <w:rPr>
                <w:rFonts w:ascii="Merriweather" w:hAnsi="Merriweather" w:cs="Arial"/>
                <w:color w:val="auto"/>
                <w:sz w:val="18"/>
                <w:szCs w:val="18"/>
                <w:shd w:val="clear" w:color="auto" w:fill="FFFFFF"/>
                <w:lang w:val="hr-HR"/>
              </w:rPr>
              <w:t>.</w:t>
            </w:r>
          </w:p>
          <w:p w14:paraId="1B4CF52F" w14:textId="3EC3ECA0" w:rsidR="003D168E" w:rsidRPr="003D168E" w:rsidRDefault="003D168E" w:rsidP="003D168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Arial"/>
                <w:color w:val="auto"/>
                <w:sz w:val="18"/>
                <w:szCs w:val="18"/>
                <w:shd w:val="clear" w:color="auto" w:fill="FFFFFF"/>
                <w:lang w:val="hr-HR"/>
              </w:rPr>
            </w:pPr>
            <w:r w:rsidRPr="003D168E">
              <w:rPr>
                <w:rFonts w:ascii="Merriweather" w:hAnsi="Merriweather" w:cs="Arial"/>
                <w:color w:val="auto"/>
                <w:sz w:val="18"/>
                <w:szCs w:val="18"/>
                <w:shd w:val="clear" w:color="auto" w:fill="FFFFFF"/>
                <w:lang w:val="hr-HR"/>
              </w:rPr>
              <w:t>- K</w:t>
            </w:r>
            <w:r w:rsidRPr="003D168E">
              <w:rPr>
                <w:rFonts w:ascii="Merriweather" w:hAnsi="Merriweather" w:cs="Arial"/>
                <w:color w:val="auto"/>
                <w:sz w:val="18"/>
                <w:szCs w:val="18"/>
                <w:shd w:val="clear" w:color="auto" w:fill="FFFFFF"/>
              </w:rPr>
              <w:t>lasificirati osnovne sadržaje u jasne opisne kategorije relevantne za povijest arhitekture i likovnih umjetnosti, a potom je zorno prezentirati</w:t>
            </w:r>
            <w:r w:rsidRPr="003D168E">
              <w:rPr>
                <w:rFonts w:ascii="Merriweather" w:hAnsi="Merriweather" w:cs="Arial"/>
                <w:color w:val="auto"/>
                <w:sz w:val="18"/>
                <w:szCs w:val="18"/>
                <w:shd w:val="clear" w:color="auto" w:fill="FFFFFF"/>
                <w:lang w:val="hr-HR"/>
              </w:rPr>
              <w:t>.</w:t>
            </w:r>
          </w:p>
        </w:tc>
      </w:tr>
      <w:tr w:rsidR="003D168E" w14:paraId="5E58E794" w14:textId="77777777">
        <w:trPr>
          <w:trHeight w:val="230"/>
          <w:jc w:val="center"/>
        </w:trPr>
        <w:tc>
          <w:tcPr>
            <w:tcW w:w="905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5F36F" w14:textId="77777777" w:rsidR="003D168E" w:rsidRDefault="003D168E" w:rsidP="003D168E"/>
        </w:tc>
      </w:tr>
      <w:tr w:rsidR="003D168E" w14:paraId="45492EA2" w14:textId="77777777" w:rsidTr="003D168E">
        <w:trPr>
          <w:trHeight w:val="465"/>
          <w:jc w:val="center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8F528" w14:textId="77777777" w:rsidR="003D168E" w:rsidRDefault="003D168E" w:rsidP="003D168E">
            <w:pPr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Načini praćenja studenata</w:t>
            </w:r>
          </w:p>
        </w:tc>
        <w:tc>
          <w:tcPr>
            <w:tcW w:w="1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1B196" w14:textId="77777777" w:rsidR="003D168E" w:rsidRDefault="003D168E" w:rsidP="003D168E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 Bold" w:hAnsi="Merriweather Bold"/>
                <w:sz w:val="18"/>
                <w:szCs w:val="18"/>
              </w:rPr>
              <w:t>x pohađanje nastave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687DC" w14:textId="77777777" w:rsidR="003D168E" w:rsidRDefault="003D168E" w:rsidP="003D168E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priprema za nastavu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6B785" w14:textId="77777777" w:rsidR="003D168E" w:rsidRDefault="003D168E" w:rsidP="003D168E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domaće zadaće</w:t>
            </w:r>
          </w:p>
        </w:tc>
        <w:tc>
          <w:tcPr>
            <w:tcW w:w="1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B56CA" w14:textId="77777777" w:rsidR="003D168E" w:rsidRDefault="003D168E" w:rsidP="003D168E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 Bold" w:hAnsi="Merriweather Bold"/>
                <w:sz w:val="18"/>
                <w:szCs w:val="18"/>
              </w:rPr>
              <w:t>x kontinuirana evaluacija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D4552" w14:textId="77777777" w:rsidR="003D168E" w:rsidRDefault="003D168E" w:rsidP="003D168E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istraživanje</w:t>
            </w:r>
          </w:p>
        </w:tc>
      </w:tr>
      <w:tr w:rsidR="003D168E" w14:paraId="44C923C4" w14:textId="77777777" w:rsidTr="003D168E">
        <w:trPr>
          <w:trHeight w:val="689"/>
          <w:jc w:val="center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8EE082" w14:textId="77777777" w:rsidR="003D168E" w:rsidRDefault="003D168E" w:rsidP="003D168E"/>
        </w:tc>
        <w:tc>
          <w:tcPr>
            <w:tcW w:w="1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7A508" w14:textId="77777777" w:rsidR="003D168E" w:rsidRDefault="003D168E" w:rsidP="003D168E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praktični rad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2FA86" w14:textId="77777777" w:rsidR="003D168E" w:rsidRDefault="003D168E" w:rsidP="003D168E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 xml:space="preserve">☐ </w:t>
            </w:r>
            <w:r>
              <w:rPr>
                <w:rFonts w:ascii="Merriweather Regular" w:hAnsi="Merriweather Regular"/>
                <w:sz w:val="18"/>
                <w:szCs w:val="18"/>
              </w:rPr>
              <w:t>eksperimentalni rad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1BF9F" w14:textId="77777777" w:rsidR="003D168E" w:rsidRDefault="003D168E" w:rsidP="003D168E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izlaganje</w:t>
            </w:r>
          </w:p>
        </w:tc>
        <w:tc>
          <w:tcPr>
            <w:tcW w:w="1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1018A" w14:textId="77777777" w:rsidR="003D168E" w:rsidRDefault="003D168E" w:rsidP="003D168E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projekt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4EF9D" w14:textId="77777777" w:rsidR="003D168E" w:rsidRDefault="003D168E" w:rsidP="003D168E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 Bold" w:hAnsi="Merriweather Bold"/>
                <w:sz w:val="18"/>
                <w:szCs w:val="18"/>
              </w:rPr>
              <w:t>x seminar</w:t>
            </w:r>
          </w:p>
        </w:tc>
      </w:tr>
      <w:tr w:rsidR="003D168E" w14:paraId="792A5851" w14:textId="77777777" w:rsidTr="003D168E">
        <w:trPr>
          <w:trHeight w:val="450"/>
          <w:jc w:val="center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6DE5D9" w14:textId="77777777" w:rsidR="003D168E" w:rsidRDefault="003D168E" w:rsidP="003D168E"/>
        </w:tc>
        <w:tc>
          <w:tcPr>
            <w:tcW w:w="1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7B941" w14:textId="77777777" w:rsidR="003D168E" w:rsidRDefault="003D168E" w:rsidP="003D168E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      </w:t>
            </w:r>
            <w:r>
              <w:rPr>
                <w:rFonts w:ascii="Merriweather Bold" w:hAnsi="Merriweather Bold"/>
                <w:sz w:val="18"/>
                <w:szCs w:val="18"/>
              </w:rPr>
              <w:t>x kolokvij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AE387" w14:textId="77777777" w:rsidR="003D168E" w:rsidRDefault="003D168E" w:rsidP="003D168E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 Bold" w:hAnsi="Merriweather Bold"/>
                <w:sz w:val="18"/>
                <w:szCs w:val="18"/>
              </w:rPr>
              <w:t>x pismeni ispit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7A7FC" w14:textId="77777777" w:rsidR="003D168E" w:rsidRDefault="003D168E" w:rsidP="003D168E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 Bold" w:hAnsi="Merriweather Bold"/>
                <w:sz w:val="18"/>
                <w:szCs w:val="18"/>
              </w:rPr>
              <w:t>x usmeni ispit</w:t>
            </w:r>
          </w:p>
        </w:tc>
        <w:tc>
          <w:tcPr>
            <w:tcW w:w="30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41E46" w14:textId="77777777" w:rsidR="003D168E" w:rsidRDefault="003D168E" w:rsidP="003D168E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ostalo:</w:t>
            </w:r>
          </w:p>
        </w:tc>
      </w:tr>
      <w:tr w:rsidR="003D168E" w14:paraId="14AD3522" w14:textId="77777777" w:rsidTr="003D168E">
        <w:trPr>
          <w:trHeight w:val="1110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B030D" w14:textId="77777777" w:rsidR="003D168E" w:rsidRDefault="003D168E" w:rsidP="003D168E">
            <w:pPr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Uvjeti pristupanja ispitu</w:t>
            </w:r>
          </w:p>
        </w:tc>
        <w:tc>
          <w:tcPr>
            <w:tcW w:w="739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0EBA8" w14:textId="77777777" w:rsidR="003D168E" w:rsidRDefault="003D168E" w:rsidP="003D168E">
            <w:pPr>
              <w:spacing w:before="0" w:after="0"/>
              <w:jc w:val="both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it-IT"/>
              </w:rPr>
              <w:t>Studenti su du</w:t>
            </w:r>
            <w:r>
              <w:rPr>
                <w:rFonts w:ascii="Merriweather Regular" w:hAnsi="Merriweather Regular"/>
                <w:sz w:val="18"/>
                <w:szCs w:val="18"/>
              </w:rPr>
              <w:t>žni odslušati najmanje 70% predavanja, te sudjelovati u radu i diskusiji na najmanje 70% seminara.</w:t>
            </w:r>
          </w:p>
          <w:p w14:paraId="165D4F05" w14:textId="77777777" w:rsidR="003D168E" w:rsidRDefault="003D168E" w:rsidP="003D168E">
            <w:pPr>
              <w:spacing w:before="0" w:after="0"/>
              <w:jc w:val="both"/>
            </w:pP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Studenti su dužni izraditi jedan seminarski rad u pismenom obliku (10-15 kartica teksta), te ga prezentirati u vidu usmenog izlaganja (najmanje 30 minuta trajanja).</w:t>
            </w:r>
          </w:p>
        </w:tc>
      </w:tr>
      <w:tr w:rsidR="003D168E" w14:paraId="3AD93BEA" w14:textId="77777777" w:rsidTr="003D168E">
        <w:trPr>
          <w:trHeight w:val="270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C034F" w14:textId="77777777" w:rsidR="003D168E" w:rsidRDefault="003D168E" w:rsidP="003D168E">
            <w:pPr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Ispitni rokovi</w:t>
            </w:r>
          </w:p>
        </w:tc>
        <w:tc>
          <w:tcPr>
            <w:tcW w:w="28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7E31D" w14:textId="77777777" w:rsidR="003D168E" w:rsidRDefault="003D168E" w:rsidP="003D168E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zimski ispitni rok</w:t>
            </w:r>
          </w:p>
        </w:tc>
        <w:tc>
          <w:tcPr>
            <w:tcW w:w="2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09B37" w14:textId="77777777" w:rsidR="003D168E" w:rsidRDefault="003D168E" w:rsidP="003D168E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 Bold" w:hAnsi="Merriweather Bold"/>
                <w:sz w:val="18"/>
                <w:szCs w:val="18"/>
              </w:rPr>
              <w:t>x ljetni ispitni rok</w:t>
            </w:r>
          </w:p>
        </w:tc>
        <w:tc>
          <w:tcPr>
            <w:tcW w:w="2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F51FD" w14:textId="77777777" w:rsidR="003D168E" w:rsidRDefault="003D168E" w:rsidP="003D168E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 Bold" w:hAnsi="Merriweather Bold"/>
                <w:sz w:val="18"/>
                <w:szCs w:val="18"/>
              </w:rPr>
              <w:t>x jesenski ispitni rok</w:t>
            </w:r>
          </w:p>
        </w:tc>
      </w:tr>
      <w:tr w:rsidR="003D168E" w14:paraId="5E4007D0" w14:textId="77777777" w:rsidTr="003D168E">
        <w:trPr>
          <w:trHeight w:val="790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C5427" w14:textId="77777777" w:rsidR="003D168E" w:rsidRDefault="003D168E" w:rsidP="003D168E">
            <w:pPr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Termini ispitnih rokova</w:t>
            </w:r>
          </w:p>
        </w:tc>
        <w:tc>
          <w:tcPr>
            <w:tcW w:w="28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53555" w14:textId="77777777" w:rsidR="003D168E" w:rsidRDefault="003D168E" w:rsidP="003D168E"/>
        </w:tc>
        <w:tc>
          <w:tcPr>
            <w:tcW w:w="2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BDD90" w14:textId="77777777" w:rsidR="003D168E" w:rsidRDefault="003D168E" w:rsidP="003D168E">
            <w:pPr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bit će objavljeni na web stranici Odjela</w:t>
            </w:r>
          </w:p>
        </w:tc>
        <w:tc>
          <w:tcPr>
            <w:tcW w:w="2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FB56D" w14:textId="77777777" w:rsidR="003D168E" w:rsidRDefault="003D168E" w:rsidP="003D168E">
            <w:pPr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bit će objavljeni na web stranici Odjela</w:t>
            </w:r>
          </w:p>
        </w:tc>
      </w:tr>
      <w:tr w:rsidR="003D168E" w14:paraId="12962D0E" w14:textId="77777777" w:rsidTr="003D168E">
        <w:trPr>
          <w:trHeight w:val="1110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8A202" w14:textId="77777777" w:rsidR="003D168E" w:rsidRDefault="003D168E" w:rsidP="003D168E">
            <w:pPr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Opis kolegija</w:t>
            </w:r>
          </w:p>
        </w:tc>
        <w:tc>
          <w:tcPr>
            <w:tcW w:w="739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C12B4" w14:textId="77777777" w:rsidR="003D168E" w:rsidRDefault="003D168E" w:rsidP="003D168E">
            <w:pPr>
              <w:tabs>
                <w:tab w:val="left" w:pos="1218"/>
              </w:tabs>
              <w:spacing w:before="40" w:after="80"/>
              <w:jc w:val="both"/>
            </w:pP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Stjecanje temeljnih činjeničnih i teorijskih spoznaja o ranokršćanskoj i bizantskoj umjetnosti na području mediteranskog bazena i balkanskog poluotoka, uz kritičko razumijevanje osnovnih fenomena i prepoznavanje najvažnijih djela likovnih umjetnosti i arhitekture u razdoblju od 4. do sredine 15. stoljeća.</w:t>
            </w:r>
          </w:p>
        </w:tc>
      </w:tr>
      <w:tr w:rsidR="003D168E" w14:paraId="2B58C15F" w14:textId="77777777" w:rsidTr="003D168E">
        <w:trPr>
          <w:trHeight w:val="7830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B2544" w14:textId="77777777" w:rsidR="003D168E" w:rsidRDefault="003D168E" w:rsidP="003D168E">
            <w:pPr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lastRenderedPageBreak/>
              <w:t>Sadržaj kolegija (nastavne teme)</w:t>
            </w:r>
          </w:p>
        </w:tc>
        <w:tc>
          <w:tcPr>
            <w:tcW w:w="739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15781" w14:textId="77777777" w:rsidR="003D168E" w:rsidRDefault="003D168E" w:rsidP="003D168E">
            <w:pPr>
              <w:tabs>
                <w:tab w:val="left" w:pos="20"/>
                <w:tab w:val="left" w:pos="189"/>
                <w:tab w:val="left" w:pos="1218"/>
              </w:tabs>
              <w:spacing w:before="0" w:after="20"/>
              <w:rPr>
                <w:rFonts w:ascii="Merriweather Bold" w:eastAsia="Merriweather Bold" w:hAnsi="Merriweather Bold" w:cs="Merriweather Bold"/>
                <w:sz w:val="18"/>
                <w:szCs w:val="18"/>
                <w:lang w:val="en-US"/>
              </w:rPr>
            </w:pPr>
            <w:r>
              <w:rPr>
                <w:rFonts w:ascii="Merriweather Bold" w:hAnsi="Merriweather Bold"/>
                <w:sz w:val="18"/>
                <w:szCs w:val="18"/>
                <w:lang w:val="en-US"/>
              </w:rPr>
              <w:t>RANOKRŠĆANSKA UMJETNOST:</w:t>
            </w:r>
          </w:p>
          <w:p w14:paraId="7EE6B35F" w14:textId="77777777" w:rsidR="003D168E" w:rsidRDefault="003D168E" w:rsidP="003D168E">
            <w:pPr>
              <w:numPr>
                <w:ilvl w:val="0"/>
                <w:numId w:val="1"/>
              </w:numPr>
              <w:spacing w:before="0" w:after="20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Uvodno predavanje: povijesni kontekst (kriza trećeg stoljeća u rimskom društvu i umjetnosti, važnost Dioklecijanovih reformi); rimska umjetnost u doba tetrarhije - najvažniji spomenici (Dioklecijanova palača, Piazza Armerina)</w:t>
            </w:r>
          </w:p>
          <w:p w14:paraId="737C3699" w14:textId="77777777" w:rsidR="003D168E" w:rsidRDefault="003D168E" w:rsidP="003D168E">
            <w:pPr>
              <w:numPr>
                <w:ilvl w:val="0"/>
                <w:numId w:val="1"/>
              </w:numPr>
              <w:spacing w:before="0" w:after="20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Umjetnost Konstantinove dinastije u prvoj polovici 4. stoljeća: pojava kršćanstva i prvi važni kršćanski projekti u Rimu i Palestini; osnutak Konstantinopola</w:t>
            </w:r>
          </w:p>
          <w:p w14:paraId="7F478BC8" w14:textId="77777777" w:rsidR="003D168E" w:rsidRDefault="003D168E" w:rsidP="003D168E">
            <w:pPr>
              <w:numPr>
                <w:ilvl w:val="0"/>
                <w:numId w:val="1"/>
              </w:numPr>
              <w:spacing w:before="0" w:after="20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Ranokršćanske memorije i groblja: slikarstvo rimskih katakombi i monumentalno slikarstvo 4. stoljeća (Santa Constanza); umjetost sarkofaga</w:t>
            </w:r>
          </w:p>
          <w:p w14:paraId="76CA6FC3" w14:textId="77777777" w:rsidR="003D168E" w:rsidRDefault="003D168E" w:rsidP="003D168E">
            <w:pPr>
              <w:numPr>
                <w:ilvl w:val="0"/>
                <w:numId w:val="1"/>
              </w:numPr>
              <w:spacing w:before="0" w:after="20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Umjetnost Teodozijeve dinastije: arhitektura velikih kršćanskih središta na Zapadu (Aquileia, Milano, Trier, Rim)</w:t>
            </w:r>
          </w:p>
          <w:p w14:paraId="4F2E92A3" w14:textId="77777777" w:rsidR="003D168E" w:rsidRDefault="003D168E" w:rsidP="003D168E">
            <w:pPr>
              <w:numPr>
                <w:ilvl w:val="0"/>
                <w:numId w:val="1"/>
              </w:numPr>
              <w:spacing w:before="0" w:after="20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Umjetnost Teodozijeve dinastije II: arhitektura i mozaici Ravenne u 5. st.</w:t>
            </w:r>
          </w:p>
          <w:p w14:paraId="48BC485D" w14:textId="77777777" w:rsidR="003D168E" w:rsidRDefault="003D168E" w:rsidP="003D168E">
            <w:pPr>
              <w:numPr>
                <w:ilvl w:val="0"/>
                <w:numId w:val="1"/>
              </w:numPr>
              <w:spacing w:before="0" w:after="20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Ranokršćanska umjetnost Istoka: Konstantinopol, Solun, Mala Azija, Sirija, Egipat i sjeverna Afrika</w:t>
            </w:r>
          </w:p>
          <w:p w14:paraId="7A30E6C2" w14:textId="77777777" w:rsidR="003D168E" w:rsidRDefault="003D168E" w:rsidP="003D168E">
            <w:pPr>
              <w:numPr>
                <w:ilvl w:val="0"/>
                <w:numId w:val="1"/>
              </w:numPr>
              <w:spacing w:before="0" w:after="20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Umjetnost Justinijanovog razdoblja: Konstantinopol i Ravenna</w:t>
            </w:r>
          </w:p>
          <w:p w14:paraId="41118B8D" w14:textId="77777777" w:rsidR="003D168E" w:rsidRDefault="003D168E" w:rsidP="003D168E">
            <w:pPr>
              <w:numPr>
                <w:ilvl w:val="0"/>
                <w:numId w:val="1"/>
              </w:numPr>
              <w:spacing w:before="0" w:after="20"/>
              <w:rPr>
                <w:rFonts w:ascii="Merriweather Regular" w:hAnsi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 </w:t>
            </w: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Primijenjena umjetnost do 7. stoljeća: knjižno slikarstvo, produkcija bjelokosti i zlatarstvo</w:t>
            </w:r>
          </w:p>
          <w:p w14:paraId="5923696D" w14:textId="77777777" w:rsidR="003D168E" w:rsidRDefault="003D168E" w:rsidP="003D168E">
            <w:pPr>
              <w:tabs>
                <w:tab w:val="left" w:pos="20"/>
                <w:tab w:val="left" w:pos="189"/>
                <w:tab w:val="left" w:pos="1218"/>
              </w:tabs>
              <w:spacing w:before="0" w:after="20"/>
              <w:rPr>
                <w:rFonts w:ascii="Merriweather Bold" w:eastAsia="Merriweather Bold" w:hAnsi="Merriweather Bold" w:cs="Merriweather Bold"/>
                <w:sz w:val="18"/>
                <w:szCs w:val="18"/>
              </w:rPr>
            </w:pPr>
            <w:r>
              <w:rPr>
                <w:rFonts w:ascii="Merriweather Bold" w:hAnsi="Merriweather Bold"/>
                <w:sz w:val="18"/>
                <w:szCs w:val="18"/>
                <w:lang w:val="en-US"/>
              </w:rPr>
              <w:t>BIZANTSKA UMJETNOST:</w:t>
            </w:r>
          </w:p>
          <w:p w14:paraId="3E906632" w14:textId="77777777" w:rsidR="003D168E" w:rsidRDefault="003D168E" w:rsidP="003D168E">
            <w:pPr>
              <w:numPr>
                <w:ilvl w:val="0"/>
                <w:numId w:val="1"/>
              </w:numPr>
              <w:spacing w:before="0" w:after="20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Umjetnost ikonoklazma i bizantska umjetnost u doba Makedonske dinastije: arhitektura (razvoj crkve tipa quincunx) i monumentalno slikarstvo (Konstantinopol, Solun, Kapadocija)</w:t>
            </w:r>
          </w:p>
          <w:p w14:paraId="44AD5FB6" w14:textId="77777777" w:rsidR="003D168E" w:rsidRDefault="003D168E" w:rsidP="003D168E">
            <w:pPr>
              <w:numPr>
                <w:ilvl w:val="0"/>
                <w:numId w:val="1"/>
              </w:numPr>
              <w:spacing w:before="0" w:after="20"/>
              <w:rPr>
                <w:rFonts w:ascii="Merriweather Regular" w:hAnsi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 </w:t>
            </w: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Bizantska umjetnost u doba Makedonske dinastije II: knjižno slikarstvo i primijenjena umjetnost</w:t>
            </w:r>
          </w:p>
          <w:p w14:paraId="4A3D90E6" w14:textId="77777777" w:rsidR="003D168E" w:rsidRDefault="003D168E" w:rsidP="003D168E">
            <w:pPr>
              <w:numPr>
                <w:ilvl w:val="0"/>
                <w:numId w:val="1"/>
              </w:numPr>
              <w:spacing w:before="0" w:after="20"/>
              <w:rPr>
                <w:rFonts w:ascii="Merriweather Regular" w:hAnsi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 </w:t>
            </w: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Bizantska umjetnost 11. stoljeća, poglavito slikarstvo (tzv. strogi stil): grčki manastiri, Kijev, Ohrid</w:t>
            </w:r>
          </w:p>
          <w:p w14:paraId="36ECA1D8" w14:textId="77777777" w:rsidR="003D168E" w:rsidRDefault="003D168E" w:rsidP="003D168E">
            <w:pPr>
              <w:numPr>
                <w:ilvl w:val="0"/>
                <w:numId w:val="1"/>
              </w:numPr>
              <w:spacing w:before="0" w:after="20"/>
              <w:rPr>
                <w:rFonts w:ascii="Merriweather Regular" w:hAnsi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 </w:t>
            </w: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Bizantska umjetnost u doba Komnenske dinastije: tzv. klasično razdoblje bizantske umj. u Konstantinopolu i na matičnom tlu te na slavenskom području (posebno Makedonija)</w:t>
            </w:r>
          </w:p>
          <w:p w14:paraId="2F09B097" w14:textId="77777777" w:rsidR="003D168E" w:rsidRDefault="003D168E" w:rsidP="003D168E">
            <w:pPr>
              <w:numPr>
                <w:ilvl w:val="0"/>
                <w:numId w:val="1"/>
              </w:numPr>
              <w:spacing w:before="0" w:after="20"/>
              <w:rPr>
                <w:rFonts w:ascii="Merriweather Regular" w:hAnsi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 </w:t>
            </w: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Bizantska umjetnost 12. stoljeća na Apeninskom poluotoku: Venecija i lagune, Sicilija (Palermo, Monreale)</w:t>
            </w:r>
          </w:p>
          <w:p w14:paraId="21C85185" w14:textId="77777777" w:rsidR="003D168E" w:rsidRDefault="003D168E" w:rsidP="003D168E">
            <w:pPr>
              <w:numPr>
                <w:ilvl w:val="0"/>
                <w:numId w:val="1"/>
              </w:numPr>
              <w:spacing w:before="0" w:after="20"/>
              <w:rPr>
                <w:rFonts w:ascii="Merriweather Regular" w:hAnsi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 </w:t>
            </w: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Bizantska umjetnost u 13. stoljeću: slikarstvo tzv. plastičnog stila na Balkanu (Srbija, Kosovo, Makedonija)</w:t>
            </w:r>
          </w:p>
          <w:p w14:paraId="1CEC2BCB" w14:textId="77777777" w:rsidR="003D168E" w:rsidRDefault="003D168E" w:rsidP="003D168E">
            <w:pPr>
              <w:numPr>
                <w:ilvl w:val="0"/>
                <w:numId w:val="1"/>
              </w:numPr>
              <w:spacing w:before="40"/>
              <w:jc w:val="both"/>
              <w:rPr>
                <w:rFonts w:ascii="Merriweather Regular" w:hAnsi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 </w:t>
            </w: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Umjetnost u razdoblju Paleološke dinastije: Konstantinopol, Solun, Mistra</w:t>
            </w:r>
          </w:p>
        </w:tc>
      </w:tr>
      <w:tr w:rsidR="003D168E" w14:paraId="7310894A" w14:textId="77777777" w:rsidTr="003D168E">
        <w:trPr>
          <w:trHeight w:val="1770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F1CF3" w14:textId="77777777" w:rsidR="003D168E" w:rsidRDefault="003D168E" w:rsidP="003D168E">
            <w:pPr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Obvezna literatura</w:t>
            </w:r>
          </w:p>
        </w:tc>
        <w:tc>
          <w:tcPr>
            <w:tcW w:w="739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65C0A" w14:textId="77777777" w:rsidR="003D168E" w:rsidRDefault="003D168E" w:rsidP="003D168E">
            <w:pPr>
              <w:pStyle w:val="Heading5"/>
              <w:numPr>
                <w:ilvl w:val="0"/>
                <w:numId w:val="2"/>
              </w:numPr>
              <w:spacing w:before="20" w:after="20"/>
              <w:jc w:val="both"/>
              <w:rPr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L. Rodley, Byzantine art and architecture - an Introduction, Cambridge University Press, 1994. ili kasnije; </w:t>
            </w:r>
          </w:p>
          <w:p w14:paraId="0305A33C" w14:textId="77777777" w:rsidR="003D168E" w:rsidRDefault="003D168E" w:rsidP="003D168E">
            <w:pPr>
              <w:pStyle w:val="Heading5"/>
              <w:numPr>
                <w:ilvl w:val="0"/>
                <w:numId w:val="2"/>
              </w:numPr>
              <w:spacing w:before="20" w:after="20"/>
              <w:jc w:val="both"/>
              <w:rPr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J. Snyder, Medieval Art, New York, 1989. (str. 5-172); </w:t>
            </w:r>
          </w:p>
          <w:p w14:paraId="0A53DFBC" w14:textId="77777777" w:rsidR="003D168E" w:rsidRDefault="003D168E" w:rsidP="003D168E">
            <w:pPr>
              <w:pStyle w:val="Heading5"/>
              <w:numPr>
                <w:ilvl w:val="0"/>
                <w:numId w:val="2"/>
              </w:numPr>
              <w:spacing w:before="20" w:after="20"/>
              <w:jc w:val="both"/>
              <w:rPr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R. Krautheimer, Early Christian and Byzantine Architecture, Yale University Press, 1986. ili R. Krauthajmer, S. Čurčić, Ranohrišćanska i vizantijska arhitektura, Beograd, 2008.</w:t>
            </w:r>
          </w:p>
          <w:p w14:paraId="4EBAE5D9" w14:textId="77777777" w:rsidR="003D168E" w:rsidRDefault="003D168E" w:rsidP="003D168E">
            <w:pPr>
              <w:pStyle w:val="Heading5"/>
              <w:numPr>
                <w:ilvl w:val="0"/>
                <w:numId w:val="3"/>
              </w:numPr>
              <w:spacing w:before="20" w:after="20"/>
              <w:rPr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J. Lowden, Early Christian and Byzantine art</w:t>
            </w:r>
            <w:r>
              <w:rPr>
                <w:rFonts w:ascii="Merriweather Light" w:hAnsi="Merriweather Light"/>
                <w:i/>
                <w:iCs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Phaidon, 2005.</w:t>
            </w:r>
          </w:p>
        </w:tc>
      </w:tr>
      <w:tr w:rsidR="003D168E" w14:paraId="73E82341" w14:textId="77777777" w:rsidTr="003D168E">
        <w:trPr>
          <w:trHeight w:val="4410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FDA23" w14:textId="77777777" w:rsidR="003D168E" w:rsidRDefault="003D168E" w:rsidP="003D168E">
            <w:pPr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lastRenderedPageBreak/>
              <w:t xml:space="preserve">Dodatna literatura </w:t>
            </w:r>
          </w:p>
        </w:tc>
        <w:tc>
          <w:tcPr>
            <w:tcW w:w="739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14:paraId="4A104D1A" w14:textId="77777777" w:rsidR="003D168E" w:rsidRDefault="003D168E" w:rsidP="003D168E">
            <w:pPr>
              <w:pStyle w:val="Heading5"/>
              <w:numPr>
                <w:ilvl w:val="0"/>
                <w:numId w:val="4"/>
              </w:numPr>
              <w:spacing w:before="20" w:after="20"/>
              <w:rPr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R. Ousterhout, Eastern medievel architecture: The Building Traditions of Byzantium and Neighboring Lands, University press, Oxford, 2019.</w:t>
            </w:r>
          </w:p>
          <w:p w14:paraId="6E6AB6DC" w14:textId="77777777" w:rsidR="003D168E" w:rsidRDefault="003D168E" w:rsidP="003D168E">
            <w:pPr>
              <w:pStyle w:val="Heading5"/>
              <w:numPr>
                <w:ilvl w:val="0"/>
                <w:numId w:val="4"/>
              </w:numPr>
              <w:spacing w:before="20" w:after="20"/>
              <w:rPr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J. Beckwith, Early Christian and Byzantine art</w:t>
            </w:r>
            <w:r>
              <w:rPr>
                <w:rFonts w:ascii="Merriweather Light" w:hAnsi="Merriweather Light"/>
                <w:i/>
                <w:iCs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Yale University Press, 1993.</w:t>
            </w:r>
          </w:p>
          <w:p w14:paraId="0EF5FCA7" w14:textId="77777777" w:rsidR="003D168E" w:rsidRDefault="003D168E" w:rsidP="003D168E">
            <w:pPr>
              <w:pStyle w:val="Heading5"/>
              <w:numPr>
                <w:ilvl w:val="0"/>
                <w:numId w:val="4"/>
              </w:numPr>
              <w:spacing w:before="20" w:after="20"/>
              <w:rPr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R. Cormack, Byzantine art</w:t>
            </w:r>
            <w:r>
              <w:rPr>
                <w:rFonts w:ascii="Merriweather Light" w:hAnsi="Merriweather Light"/>
                <w:i/>
                <w:iCs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Oxford University Press, 2000.</w:t>
            </w:r>
          </w:p>
          <w:p w14:paraId="0DEA4759" w14:textId="77777777" w:rsidR="003D168E" w:rsidRDefault="003D168E" w:rsidP="003D168E">
            <w:pPr>
              <w:pStyle w:val="Heading5"/>
              <w:numPr>
                <w:ilvl w:val="0"/>
                <w:numId w:val="4"/>
              </w:numPr>
              <w:spacing w:before="20" w:after="20"/>
              <w:rPr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D. T. Rice, Art of the Byzantine era, London, Thames and Hudson, 1994.</w:t>
            </w:r>
          </w:p>
          <w:p w14:paraId="6FBFC90B" w14:textId="77777777" w:rsidR="003D168E" w:rsidRDefault="003D168E" w:rsidP="003D168E">
            <w:pPr>
              <w:pStyle w:val="Heading5"/>
              <w:numPr>
                <w:ilvl w:val="0"/>
                <w:numId w:val="4"/>
              </w:numPr>
              <w:spacing w:before="20" w:after="20"/>
              <w:rPr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V. Lazarev, Istorija vizantijskog slikarstva, Beograd, 2004.</w:t>
            </w:r>
          </w:p>
          <w:p w14:paraId="2B908F2D" w14:textId="77777777" w:rsidR="003D168E" w:rsidRDefault="003D168E" w:rsidP="003D168E">
            <w:pPr>
              <w:pStyle w:val="Heading5"/>
              <w:numPr>
                <w:ilvl w:val="0"/>
                <w:numId w:val="4"/>
              </w:numPr>
              <w:spacing w:before="20" w:after="20"/>
              <w:rPr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K. Weitzmann, Late Antique and Early Christian Book Illumination, New York, 1977</w:t>
            </w:r>
          </w:p>
          <w:p w14:paraId="63D185A4" w14:textId="77777777" w:rsidR="003D168E" w:rsidRDefault="003D168E" w:rsidP="003D168E">
            <w:pPr>
              <w:pStyle w:val="Heading5"/>
              <w:numPr>
                <w:ilvl w:val="0"/>
                <w:numId w:val="4"/>
              </w:numPr>
              <w:spacing w:before="20" w:after="20"/>
              <w:rPr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The Glory of Byzantium: Art and Culture of the Middle Byzantine Era, A.D. 843-1261, (ur. H. C. Evans, W. D. Wixom), The Metropolitan Museum of Art, New York, 1997.</w:t>
            </w:r>
          </w:p>
          <w:p w14:paraId="7800CBAD" w14:textId="77777777" w:rsidR="003D168E" w:rsidRDefault="003D168E" w:rsidP="003D168E">
            <w:pPr>
              <w:pStyle w:val="Heading5"/>
              <w:numPr>
                <w:ilvl w:val="0"/>
                <w:numId w:val="4"/>
              </w:numPr>
              <w:spacing w:before="20" w:after="20"/>
              <w:rPr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Byzantium: Faith and Power (1261-1557), (ur. H. C. Evans), The Metropolitan Museum of Art, New York, Yale University Press, 2004.</w:t>
            </w:r>
          </w:p>
          <w:p w14:paraId="5192A9A7" w14:textId="77777777" w:rsidR="003D168E" w:rsidRDefault="003D168E" w:rsidP="003D168E">
            <w:pPr>
              <w:pStyle w:val="Heading5"/>
              <w:numPr>
                <w:ilvl w:val="0"/>
                <w:numId w:val="4"/>
              </w:numPr>
              <w:spacing w:before="20" w:after="20"/>
              <w:rPr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F. Gerke, Kasna antika i rano hrišćanstvo, edicija </w:t>
            </w:r>
            <w:r>
              <w:rPr>
                <w:rFonts w:ascii="Merriweather Light" w:hAnsi="Merriweather Light"/>
                <w:i/>
                <w:iCs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Umetnost u svetu</w:t>
            </w:r>
            <w:r>
              <w:rPr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Novi Sad, 1973.</w:t>
            </w:r>
          </w:p>
          <w:p w14:paraId="0283449D" w14:textId="77777777" w:rsidR="003D168E" w:rsidRDefault="003D168E" w:rsidP="003D168E">
            <w:pPr>
              <w:pStyle w:val="Heading5"/>
              <w:numPr>
                <w:ilvl w:val="0"/>
                <w:numId w:val="4"/>
              </w:numPr>
              <w:spacing w:before="20" w:after="20"/>
              <w:rPr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A. Grabar, Vizantija: Vizantijska umetnost srednjega veka (od VIII do XV veka), edicija </w:t>
            </w:r>
            <w:r>
              <w:rPr>
                <w:rFonts w:ascii="Merriweather Light" w:hAnsi="Merriweather Light"/>
                <w:i/>
                <w:iCs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Umetnost u svetu</w:t>
            </w:r>
            <w:r>
              <w:rPr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Novi Sad, 1969.</w:t>
            </w:r>
          </w:p>
          <w:p w14:paraId="00EBDF74" w14:textId="77777777" w:rsidR="003D168E" w:rsidRDefault="003D168E" w:rsidP="003D168E">
            <w:pPr>
              <w:pStyle w:val="Heading5"/>
              <w:numPr>
                <w:ilvl w:val="0"/>
                <w:numId w:val="4"/>
              </w:numPr>
              <w:spacing w:before="20" w:after="20"/>
              <w:rPr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C. Schug-Wille, Bizant i njegov svijet</w:t>
            </w:r>
            <w:r>
              <w:rPr>
                <w:rFonts w:ascii="Merriweather Light" w:hAnsi="Merriweather Light"/>
                <w:i/>
                <w:iCs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Rijeka, 1970.</w:t>
            </w:r>
          </w:p>
        </w:tc>
      </w:tr>
      <w:tr w:rsidR="003D168E" w14:paraId="123C5C33" w14:textId="77777777" w:rsidTr="003D168E">
        <w:trPr>
          <w:trHeight w:val="450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D7BB4" w14:textId="77777777" w:rsidR="003D168E" w:rsidRDefault="003D168E" w:rsidP="003D168E">
            <w:pPr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 xml:space="preserve">Mrežni izvori </w:t>
            </w:r>
          </w:p>
        </w:tc>
        <w:tc>
          <w:tcPr>
            <w:tcW w:w="739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F823B" w14:textId="77777777" w:rsidR="003D168E" w:rsidRDefault="003D168E" w:rsidP="003D168E">
            <w:pPr>
              <w:pStyle w:val="Heading6"/>
              <w:spacing w:before="0" w:after="0"/>
              <w:jc w:val="both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hyperlink r:id="rId9" w:history="1">
              <w:r>
                <w:rPr>
                  <w:rStyle w:val="Hyperlink1"/>
                  <w:rFonts w:ascii="Merriweather Regular" w:hAnsi="Merriweather Regular"/>
                  <w:sz w:val="18"/>
                  <w:szCs w:val="18"/>
                </w:rPr>
                <w:t>http://constantinople.ehw.gr/forms/fmain.aspx</w:t>
              </w:r>
            </w:hyperlink>
          </w:p>
          <w:p w14:paraId="2953E31B" w14:textId="77777777" w:rsidR="003D168E" w:rsidRDefault="003D168E" w:rsidP="003D168E">
            <w:pPr>
              <w:pStyle w:val="Heading6"/>
              <w:spacing w:before="0" w:after="0"/>
              <w:jc w:val="both"/>
            </w:pPr>
            <w:hyperlink r:id="rId10" w:history="1">
              <w:r>
                <w:rPr>
                  <w:rStyle w:val="Hyperlink2"/>
                  <w:rFonts w:ascii="Merriweather Regular" w:hAnsi="Merriweather Regular"/>
                </w:rPr>
                <w:t>http://www.thebyzantinelegacy.com</w:t>
              </w:r>
            </w:hyperlink>
          </w:p>
        </w:tc>
      </w:tr>
      <w:tr w:rsidR="003D168E" w14:paraId="1CDDB029" w14:textId="77777777" w:rsidTr="003D168E">
        <w:trPr>
          <w:trHeight w:val="230"/>
          <w:jc w:val="center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9DEC1" w14:textId="77777777" w:rsidR="003D168E" w:rsidRDefault="003D168E" w:rsidP="003D168E">
            <w:pPr>
              <w:spacing w:before="20" w:after="20"/>
            </w:pPr>
            <w:r>
              <w:rPr>
                <w:rStyle w:val="Bez"/>
                <w:rFonts w:ascii="Merriweather Bold" w:hAnsi="Merriweather Bold"/>
                <w:sz w:val="20"/>
                <w:szCs w:val="20"/>
              </w:rPr>
              <w:t>Provjera ishoda učenja (prema uputama AZVO)</w:t>
            </w:r>
          </w:p>
        </w:tc>
        <w:tc>
          <w:tcPr>
            <w:tcW w:w="568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35DDD" w14:textId="77777777" w:rsidR="003D168E" w:rsidRDefault="003D168E" w:rsidP="003D168E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>Samo završni ispit</w:t>
            </w: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4D9A0" w14:textId="77777777" w:rsidR="003D168E" w:rsidRDefault="003D168E" w:rsidP="003D168E"/>
        </w:tc>
      </w:tr>
      <w:tr w:rsidR="003D168E" w14:paraId="4193CF18" w14:textId="77777777" w:rsidTr="003D168E">
        <w:trPr>
          <w:trHeight w:val="610"/>
          <w:jc w:val="center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BBD10F" w14:textId="77777777" w:rsidR="003D168E" w:rsidRDefault="003D168E" w:rsidP="003D168E"/>
        </w:tc>
        <w:tc>
          <w:tcPr>
            <w:tcW w:w="21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0272E" w14:textId="77777777" w:rsidR="003D168E" w:rsidRDefault="003D168E" w:rsidP="003D168E">
            <w:pPr>
              <w:widowControl w:val="0"/>
              <w:spacing w:before="20" w:after="20"/>
              <w:jc w:val="center"/>
              <w:rPr>
                <w:rStyle w:val="Bez"/>
                <w:rFonts w:ascii="Merriweather Regular" w:eastAsia="Merriweather Regular" w:hAnsi="Merriweather Regular" w:cs="Merriweather Regular"/>
                <w:sz w:val="17"/>
                <w:szCs w:val="17"/>
              </w:rPr>
            </w:pPr>
            <w:r>
              <w:rPr>
                <w:rStyle w:val="Bez"/>
                <w:rFonts w:ascii="MS Gothic" w:hAnsi="MS Gothic"/>
                <w:sz w:val="17"/>
                <w:szCs w:val="17"/>
              </w:rPr>
              <w:t xml:space="preserve">☐ </w:t>
            </w:r>
            <w:r>
              <w:rPr>
                <w:rStyle w:val="Bez"/>
                <w:rFonts w:ascii="Merriweather Regular" w:hAnsi="Merriweather Regular"/>
                <w:sz w:val="17"/>
                <w:szCs w:val="17"/>
              </w:rPr>
              <w:t>završni</w:t>
            </w:r>
          </w:p>
          <w:p w14:paraId="14FBFDEF" w14:textId="77777777" w:rsidR="003D168E" w:rsidRDefault="003D168E" w:rsidP="003D168E">
            <w:pPr>
              <w:widowControl w:val="0"/>
              <w:spacing w:before="20" w:after="20"/>
              <w:jc w:val="center"/>
            </w:pPr>
            <w:r>
              <w:rPr>
                <w:rStyle w:val="Bez"/>
                <w:rFonts w:ascii="Merriweather Regular" w:hAnsi="Merriweather Regular"/>
                <w:sz w:val="17"/>
                <w:szCs w:val="17"/>
              </w:rPr>
              <w:t>pismeni ispit</w:t>
            </w:r>
          </w:p>
        </w:tc>
        <w:tc>
          <w:tcPr>
            <w:tcW w:w="1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974B8" w14:textId="77777777" w:rsidR="003D168E" w:rsidRDefault="003D168E" w:rsidP="003D168E">
            <w:pPr>
              <w:widowControl w:val="0"/>
              <w:spacing w:before="20" w:after="20"/>
              <w:jc w:val="center"/>
              <w:rPr>
                <w:rStyle w:val="Bez"/>
                <w:rFonts w:ascii="Merriweather Regular" w:eastAsia="Merriweather Regular" w:hAnsi="Merriweather Regular" w:cs="Merriweather Regular"/>
                <w:sz w:val="17"/>
                <w:szCs w:val="17"/>
              </w:rPr>
            </w:pPr>
            <w:r>
              <w:rPr>
                <w:rStyle w:val="Bez"/>
                <w:rFonts w:ascii="MS Gothic" w:hAnsi="MS Gothic"/>
                <w:sz w:val="17"/>
                <w:szCs w:val="17"/>
              </w:rPr>
              <w:t xml:space="preserve">☐ </w:t>
            </w:r>
            <w:r>
              <w:rPr>
                <w:rStyle w:val="Bez"/>
                <w:rFonts w:ascii="Merriweather Regular" w:hAnsi="Merriweather Regular"/>
                <w:sz w:val="17"/>
                <w:szCs w:val="17"/>
              </w:rPr>
              <w:t>završni</w:t>
            </w:r>
          </w:p>
          <w:p w14:paraId="770F87D7" w14:textId="77777777" w:rsidR="003D168E" w:rsidRDefault="003D168E" w:rsidP="003D168E">
            <w:pPr>
              <w:widowControl w:val="0"/>
              <w:spacing w:before="20" w:after="20"/>
              <w:jc w:val="center"/>
            </w:pPr>
            <w:r>
              <w:rPr>
                <w:rStyle w:val="Bez"/>
                <w:rFonts w:ascii="Merriweather Regular" w:hAnsi="Merriweather Regular"/>
                <w:sz w:val="17"/>
                <w:szCs w:val="17"/>
              </w:rPr>
              <w:t>usmeni ispit</w:t>
            </w:r>
          </w:p>
        </w:tc>
        <w:tc>
          <w:tcPr>
            <w:tcW w:w="1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B2A82" w14:textId="77777777" w:rsidR="003D168E" w:rsidRDefault="003D168E" w:rsidP="003D168E">
            <w:pPr>
              <w:widowControl w:val="0"/>
              <w:spacing w:before="20" w:after="20"/>
              <w:jc w:val="center"/>
            </w:pPr>
            <w:r>
              <w:rPr>
                <w:rStyle w:val="Bez"/>
                <w:rFonts w:ascii="MS Gothic" w:hAnsi="MS Gothic"/>
                <w:sz w:val="17"/>
                <w:szCs w:val="17"/>
              </w:rPr>
              <w:t xml:space="preserve">x </w:t>
            </w:r>
            <w:r>
              <w:rPr>
                <w:rStyle w:val="Bez"/>
                <w:rFonts w:ascii="Merriweather Bold" w:hAnsi="Merriweather Bold"/>
                <w:sz w:val="17"/>
                <w:szCs w:val="17"/>
              </w:rPr>
              <w:t>pismeni i usmeni završni ispit</w:t>
            </w: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A8A2D" w14:textId="77777777" w:rsidR="003D168E" w:rsidRDefault="003D168E" w:rsidP="003D168E">
            <w:pPr>
              <w:widowControl w:val="0"/>
              <w:spacing w:before="20" w:after="20"/>
              <w:jc w:val="center"/>
            </w:pPr>
            <w:r>
              <w:rPr>
                <w:rStyle w:val="Bez"/>
                <w:rFonts w:ascii="MS Gothic" w:hAnsi="MS Gothic"/>
                <w:sz w:val="17"/>
                <w:szCs w:val="17"/>
              </w:rPr>
              <w:t>☐</w:t>
            </w:r>
            <w:r>
              <w:rPr>
                <w:rStyle w:val="Bez"/>
                <w:rFonts w:ascii="Merriweather Regular" w:hAnsi="Merriweather Regular"/>
                <w:sz w:val="17"/>
                <w:szCs w:val="17"/>
              </w:rPr>
              <w:t>praktični rad i završni ispit</w:t>
            </w:r>
          </w:p>
        </w:tc>
      </w:tr>
      <w:tr w:rsidR="003D168E" w14:paraId="0C83D957" w14:textId="77777777" w:rsidTr="003D168E">
        <w:trPr>
          <w:trHeight w:val="1244"/>
          <w:jc w:val="center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7C9107" w14:textId="77777777" w:rsidR="003D168E" w:rsidRDefault="003D168E" w:rsidP="003D168E"/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4940E" w14:textId="77777777" w:rsidR="003D168E" w:rsidRDefault="003D168E" w:rsidP="003D168E">
            <w:pPr>
              <w:widowControl w:val="0"/>
              <w:spacing w:before="20" w:after="20"/>
              <w:jc w:val="center"/>
            </w:pPr>
            <w:r>
              <w:rPr>
                <w:rStyle w:val="Bez"/>
                <w:rFonts w:ascii="MS Gothic" w:hAnsi="MS Gothic"/>
                <w:sz w:val="17"/>
                <w:szCs w:val="17"/>
              </w:rPr>
              <w:t xml:space="preserve">☐ </w:t>
            </w:r>
            <w:r>
              <w:rPr>
                <w:rStyle w:val="Bez"/>
                <w:rFonts w:ascii="Merriweather Regular" w:hAnsi="Merriweather Regular"/>
                <w:sz w:val="17"/>
                <w:szCs w:val="17"/>
              </w:rPr>
              <w:t>samo kolokvij / zadaće</w:t>
            </w:r>
          </w:p>
        </w:tc>
        <w:tc>
          <w:tcPr>
            <w:tcW w:w="1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0C71C" w14:textId="77777777" w:rsidR="003D168E" w:rsidRDefault="003D168E" w:rsidP="003D168E">
            <w:pPr>
              <w:widowControl w:val="0"/>
              <w:spacing w:before="20" w:after="20"/>
              <w:jc w:val="center"/>
            </w:pPr>
            <w:r>
              <w:rPr>
                <w:rStyle w:val="Bez"/>
                <w:rFonts w:ascii="Merriweather Bold" w:hAnsi="Merriweather Bold"/>
                <w:sz w:val="17"/>
                <w:szCs w:val="17"/>
              </w:rPr>
              <w:t>x</w:t>
            </w:r>
            <w:r>
              <w:rPr>
                <w:rStyle w:val="Bez"/>
                <w:rFonts w:ascii="MS Gothic" w:hAnsi="MS Gothic"/>
                <w:sz w:val="17"/>
                <w:szCs w:val="17"/>
              </w:rPr>
              <w:t xml:space="preserve"> </w:t>
            </w:r>
            <w:r>
              <w:rPr>
                <w:rStyle w:val="Bez"/>
                <w:rFonts w:ascii="Merriweather Bold" w:hAnsi="Merriweather Bold"/>
                <w:sz w:val="17"/>
                <w:szCs w:val="17"/>
              </w:rPr>
              <w:t>kolokvij i završni ispit</w:t>
            </w: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357E9" w14:textId="77777777" w:rsidR="003D168E" w:rsidRDefault="003D168E" w:rsidP="003D168E">
            <w:pPr>
              <w:widowControl w:val="0"/>
              <w:spacing w:before="20" w:after="20"/>
              <w:jc w:val="center"/>
              <w:rPr>
                <w:rStyle w:val="Bez"/>
                <w:rFonts w:ascii="Merriweather Regular" w:eastAsia="Merriweather Regular" w:hAnsi="Merriweather Regular" w:cs="Merriweather Regular"/>
                <w:sz w:val="17"/>
                <w:szCs w:val="17"/>
              </w:rPr>
            </w:pPr>
            <w:r>
              <w:rPr>
                <w:rStyle w:val="Bez"/>
                <w:rFonts w:ascii="MS Gothic" w:hAnsi="MS Gothic"/>
                <w:sz w:val="17"/>
                <w:szCs w:val="17"/>
              </w:rPr>
              <w:t>☐</w:t>
            </w:r>
            <w:r>
              <w:rPr>
                <w:rStyle w:val="Bez"/>
                <w:rFonts w:ascii="Merriweather Regular" w:hAnsi="Merriweather Regular"/>
                <w:sz w:val="17"/>
                <w:szCs w:val="17"/>
              </w:rPr>
              <w:t xml:space="preserve"> seminarski</w:t>
            </w:r>
          </w:p>
          <w:p w14:paraId="33F05E36" w14:textId="77777777" w:rsidR="003D168E" w:rsidRDefault="003D168E" w:rsidP="003D168E">
            <w:pPr>
              <w:widowControl w:val="0"/>
              <w:spacing w:before="20" w:after="20"/>
              <w:jc w:val="center"/>
            </w:pPr>
            <w:r>
              <w:rPr>
                <w:rStyle w:val="Bez"/>
                <w:rFonts w:ascii="Merriweather Regular" w:hAnsi="Merriweather Regular"/>
                <w:sz w:val="17"/>
                <w:szCs w:val="17"/>
              </w:rPr>
              <w:t>rad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B0BEB" w14:textId="77777777" w:rsidR="003D168E" w:rsidRDefault="003D168E" w:rsidP="003D168E">
            <w:pPr>
              <w:widowControl w:val="0"/>
              <w:spacing w:before="20" w:after="20"/>
              <w:jc w:val="center"/>
              <w:rPr>
                <w:rStyle w:val="Bez"/>
                <w:rFonts w:ascii="Merriweather Regular" w:eastAsia="Merriweather Regular" w:hAnsi="Merriweather Regular" w:cs="Merriweather Regular"/>
                <w:sz w:val="17"/>
                <w:szCs w:val="17"/>
              </w:rPr>
            </w:pPr>
            <w:r>
              <w:rPr>
                <w:rStyle w:val="Bez"/>
                <w:rFonts w:ascii="Segoe UI Symbol" w:eastAsia="Segoe UI Symbol" w:hAnsi="Segoe UI Symbol" w:cs="Segoe UI Symbol"/>
                <w:sz w:val="17"/>
                <w:szCs w:val="17"/>
              </w:rPr>
              <w:t>☐</w:t>
            </w:r>
            <w:r>
              <w:rPr>
                <w:rStyle w:val="Bez"/>
                <w:rFonts w:ascii="Merriweather Regular" w:hAnsi="Merriweather Regular"/>
                <w:sz w:val="17"/>
                <w:szCs w:val="17"/>
              </w:rPr>
              <w:t xml:space="preserve"> seminarski</w:t>
            </w:r>
          </w:p>
          <w:p w14:paraId="6AE50917" w14:textId="77777777" w:rsidR="003D168E" w:rsidRDefault="003D168E" w:rsidP="003D168E">
            <w:pPr>
              <w:widowControl w:val="0"/>
              <w:spacing w:before="20" w:after="20"/>
              <w:jc w:val="center"/>
            </w:pPr>
            <w:r>
              <w:rPr>
                <w:rStyle w:val="Bez"/>
                <w:rFonts w:ascii="Merriweather Regular" w:hAnsi="Merriweather Regular"/>
                <w:sz w:val="17"/>
                <w:szCs w:val="17"/>
              </w:rPr>
              <w:t>rad i završni ispit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AA593" w14:textId="77777777" w:rsidR="003D168E" w:rsidRDefault="003D168E" w:rsidP="003D168E">
            <w:pPr>
              <w:widowControl w:val="0"/>
              <w:tabs>
                <w:tab w:val="center" w:pos="759"/>
              </w:tabs>
              <w:spacing w:before="20" w:after="20"/>
              <w:jc w:val="center"/>
            </w:pPr>
            <w:r>
              <w:rPr>
                <w:rStyle w:val="Bez"/>
                <w:rFonts w:ascii="MS Gothic" w:hAnsi="MS Gothic"/>
                <w:sz w:val="17"/>
                <w:szCs w:val="17"/>
              </w:rPr>
              <w:t>☐</w:t>
            </w:r>
            <w:r>
              <w:rPr>
                <w:rStyle w:val="Bez"/>
                <w:rFonts w:ascii="Merriweather Regular" w:hAnsi="Merriweather Regular"/>
                <w:sz w:val="17"/>
                <w:szCs w:val="17"/>
              </w:rPr>
              <w:t>praktični rad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ED9BD" w14:textId="77777777" w:rsidR="003D168E" w:rsidRDefault="003D168E" w:rsidP="003D168E">
            <w:pPr>
              <w:widowControl w:val="0"/>
              <w:tabs>
                <w:tab w:val="center" w:pos="759"/>
              </w:tabs>
              <w:spacing w:before="20" w:after="20"/>
              <w:jc w:val="center"/>
            </w:pPr>
            <w:r>
              <w:rPr>
                <w:rStyle w:val="Bez"/>
                <w:rFonts w:ascii="MS Gothic" w:hAnsi="MS Gothic"/>
                <w:sz w:val="17"/>
                <w:szCs w:val="17"/>
              </w:rPr>
              <w:t>☐</w:t>
            </w:r>
            <w:r>
              <w:rPr>
                <w:rStyle w:val="Bez"/>
                <w:rFonts w:ascii="Merriweather Regular" w:hAnsi="Merriweather Regular"/>
                <w:sz w:val="17"/>
                <w:szCs w:val="17"/>
              </w:rPr>
              <w:t>drugi oblici</w:t>
            </w:r>
          </w:p>
        </w:tc>
      </w:tr>
      <w:tr w:rsidR="003D168E" w14:paraId="03F11A6C" w14:textId="77777777" w:rsidTr="003D168E">
        <w:trPr>
          <w:trHeight w:val="2230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5A27E" w14:textId="77777777" w:rsidR="003D168E" w:rsidRDefault="003D168E" w:rsidP="003D168E">
            <w:pPr>
              <w:spacing w:before="20" w:after="20"/>
            </w:pPr>
            <w:r>
              <w:rPr>
                <w:rStyle w:val="Bez"/>
                <w:rFonts w:ascii="Merriweather Bold" w:hAnsi="Merriweather Bold"/>
                <w:sz w:val="20"/>
                <w:szCs w:val="20"/>
              </w:rPr>
              <w:t>Način formiranja završne ocjene</w:t>
            </w:r>
          </w:p>
        </w:tc>
        <w:tc>
          <w:tcPr>
            <w:tcW w:w="739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784FA" w14:textId="77777777" w:rsidR="003D168E" w:rsidRDefault="003D168E" w:rsidP="003D168E">
            <w:pPr>
              <w:tabs>
                <w:tab w:val="left" w:pos="1218"/>
              </w:tabs>
              <w:spacing w:before="20" w:after="20"/>
              <w:jc w:val="both"/>
              <w:rPr>
                <w:rStyle w:val="Bez"/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>Studenti tijekom semestra mogu pristupiti dvama kolokvijima koji će obuhvatiti građu iz ranokršćanske umjetnosti, a održat će se u pismenom i usmenom obliku. Uspješnim polaganjem studenti se u potpunosti oslobađaju obveze polaganja tog dijela nastavne građe na završnom ispitu kolegija (ukoliko prihvaćaju postignuti rezultat). Izlazak na kolokvij nije obavezan.</w:t>
            </w:r>
          </w:p>
          <w:p w14:paraId="0AA5566C" w14:textId="77777777" w:rsidR="003D168E" w:rsidRDefault="003D168E" w:rsidP="003D168E">
            <w:pPr>
              <w:tabs>
                <w:tab w:val="left" w:pos="1218"/>
              </w:tabs>
              <w:spacing w:before="20" w:after="20"/>
              <w:jc w:val="both"/>
            </w:pP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>Temeljni način provjere znanja predstavlja završni ispit koji se izvodi u pismenom i usmenom obliku. Na pismenom ispitu potrebno je postići najmanje 60% od ukupnog postotka bodova kako bi se pristupilo usmenom dijelu ispita. Usmeni ispit služi u svrhu formiranja konačne ocjene prema omjeru: 33% prvi kolokvij, 33% drugi kolokvij, 33% završni ispit.</w:t>
            </w:r>
          </w:p>
        </w:tc>
      </w:tr>
      <w:tr w:rsidR="003D168E" w14:paraId="3152924A" w14:textId="77777777" w:rsidTr="003D168E">
        <w:trPr>
          <w:trHeight w:val="230"/>
          <w:jc w:val="center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F42A7" w14:textId="77777777" w:rsidR="003D168E" w:rsidRDefault="003D168E" w:rsidP="003D168E">
            <w:pPr>
              <w:spacing w:before="20" w:after="20"/>
            </w:pPr>
            <w:r>
              <w:rPr>
                <w:rStyle w:val="Bez"/>
                <w:rFonts w:ascii="Merriweather Bold" w:hAnsi="Merriweather Bold"/>
                <w:sz w:val="20"/>
                <w:szCs w:val="20"/>
              </w:rPr>
              <w:t>Ocjenjivanje kolokvija i završnog ispita</w:t>
            </w:r>
          </w:p>
        </w:tc>
        <w:tc>
          <w:tcPr>
            <w:tcW w:w="1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CDAF5" w14:textId="77777777" w:rsidR="003D168E" w:rsidRDefault="003D168E" w:rsidP="003D168E">
            <w:pPr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>do 60%</w:t>
            </w:r>
          </w:p>
        </w:tc>
        <w:tc>
          <w:tcPr>
            <w:tcW w:w="603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8BE20" w14:textId="77777777" w:rsidR="003D168E" w:rsidRDefault="003D168E" w:rsidP="003D168E">
            <w:pPr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>nedovoljan (1)</w:t>
            </w:r>
          </w:p>
        </w:tc>
      </w:tr>
      <w:tr w:rsidR="003D168E" w14:paraId="47147FDE" w14:textId="77777777" w:rsidTr="003D168E">
        <w:trPr>
          <w:trHeight w:val="230"/>
          <w:jc w:val="center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C2F15B" w14:textId="77777777" w:rsidR="003D168E" w:rsidRDefault="003D168E" w:rsidP="003D168E"/>
        </w:tc>
        <w:tc>
          <w:tcPr>
            <w:tcW w:w="1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20D0C" w14:textId="77777777" w:rsidR="003D168E" w:rsidRDefault="003D168E" w:rsidP="003D168E">
            <w:pPr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>60-70%</w:t>
            </w:r>
          </w:p>
        </w:tc>
        <w:tc>
          <w:tcPr>
            <w:tcW w:w="603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B48CB" w14:textId="77777777" w:rsidR="003D168E" w:rsidRDefault="003D168E" w:rsidP="003D168E">
            <w:pPr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>dovoljan (2)</w:t>
            </w:r>
          </w:p>
        </w:tc>
      </w:tr>
      <w:tr w:rsidR="003D168E" w14:paraId="42787623" w14:textId="77777777" w:rsidTr="003D168E">
        <w:trPr>
          <w:trHeight w:val="230"/>
          <w:jc w:val="center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7A45AE" w14:textId="77777777" w:rsidR="003D168E" w:rsidRDefault="003D168E" w:rsidP="003D168E"/>
        </w:tc>
        <w:tc>
          <w:tcPr>
            <w:tcW w:w="1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022D8" w14:textId="77777777" w:rsidR="003D168E" w:rsidRDefault="003D168E" w:rsidP="003D168E">
            <w:pPr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>70-80%</w:t>
            </w:r>
          </w:p>
        </w:tc>
        <w:tc>
          <w:tcPr>
            <w:tcW w:w="603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56B0C" w14:textId="77777777" w:rsidR="003D168E" w:rsidRDefault="003D168E" w:rsidP="003D168E">
            <w:pPr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>dobar (3)</w:t>
            </w:r>
          </w:p>
        </w:tc>
      </w:tr>
      <w:tr w:rsidR="003D168E" w14:paraId="35E7792B" w14:textId="77777777" w:rsidTr="003D168E">
        <w:trPr>
          <w:trHeight w:val="230"/>
          <w:jc w:val="center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590132" w14:textId="77777777" w:rsidR="003D168E" w:rsidRDefault="003D168E" w:rsidP="003D168E"/>
        </w:tc>
        <w:tc>
          <w:tcPr>
            <w:tcW w:w="1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FA4E5" w14:textId="77777777" w:rsidR="003D168E" w:rsidRDefault="003D168E" w:rsidP="003D168E">
            <w:pPr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>80-90%</w:t>
            </w:r>
          </w:p>
        </w:tc>
        <w:tc>
          <w:tcPr>
            <w:tcW w:w="603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5B4D7" w14:textId="77777777" w:rsidR="003D168E" w:rsidRDefault="003D168E" w:rsidP="003D168E">
            <w:pPr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>vrlo dobar (4)</w:t>
            </w:r>
          </w:p>
        </w:tc>
      </w:tr>
      <w:tr w:rsidR="003D168E" w14:paraId="47042423" w14:textId="77777777" w:rsidTr="003D168E">
        <w:trPr>
          <w:trHeight w:val="230"/>
          <w:jc w:val="center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203107" w14:textId="77777777" w:rsidR="003D168E" w:rsidRDefault="003D168E" w:rsidP="003D168E"/>
        </w:tc>
        <w:tc>
          <w:tcPr>
            <w:tcW w:w="1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59B2E" w14:textId="77777777" w:rsidR="003D168E" w:rsidRDefault="003D168E" w:rsidP="003D168E">
            <w:pPr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>90-100%</w:t>
            </w:r>
          </w:p>
        </w:tc>
        <w:tc>
          <w:tcPr>
            <w:tcW w:w="603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F120B" w14:textId="77777777" w:rsidR="003D168E" w:rsidRDefault="003D168E" w:rsidP="003D168E">
            <w:pPr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>izvrstan (5)</w:t>
            </w:r>
          </w:p>
        </w:tc>
      </w:tr>
      <w:tr w:rsidR="003D168E" w14:paraId="07CC1DF9" w14:textId="77777777" w:rsidTr="003D168E">
        <w:trPr>
          <w:trHeight w:val="1410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B1B06" w14:textId="77777777" w:rsidR="003D168E" w:rsidRDefault="003D168E" w:rsidP="003D168E">
            <w:pPr>
              <w:spacing w:before="20" w:after="20"/>
            </w:pPr>
            <w:r>
              <w:rPr>
                <w:rStyle w:val="Bez"/>
                <w:rFonts w:ascii="Merriweather Bold" w:hAnsi="Merriweather Bold"/>
                <w:sz w:val="20"/>
                <w:szCs w:val="20"/>
              </w:rPr>
              <w:lastRenderedPageBreak/>
              <w:t>Način praćenja kvalitete</w:t>
            </w:r>
          </w:p>
        </w:tc>
        <w:tc>
          <w:tcPr>
            <w:tcW w:w="739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87385" w14:textId="77777777" w:rsidR="003D168E" w:rsidRDefault="003D168E" w:rsidP="003D168E">
            <w:pPr>
              <w:tabs>
                <w:tab w:val="left" w:pos="1218"/>
              </w:tabs>
              <w:spacing w:before="20" w:after="20"/>
              <w:rPr>
                <w:rStyle w:val="Bez"/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Style w:val="Bez"/>
                <w:rFonts w:ascii="MS Gothic" w:hAnsi="MS Gothic"/>
                <w:sz w:val="18"/>
                <w:szCs w:val="18"/>
              </w:rPr>
              <w:t>☒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 xml:space="preserve"> studentska evaluacija nastave na razini Sveučilišta </w:t>
            </w:r>
          </w:p>
          <w:p w14:paraId="09F493F4" w14:textId="77777777" w:rsidR="003D168E" w:rsidRDefault="003D168E" w:rsidP="003D168E">
            <w:pPr>
              <w:tabs>
                <w:tab w:val="left" w:pos="1218"/>
              </w:tabs>
              <w:spacing w:before="20" w:after="20"/>
              <w:rPr>
                <w:rStyle w:val="Bez"/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Style w:val="Bez"/>
                <w:rFonts w:ascii="MS Gothic" w:hAnsi="MS Gothic"/>
                <w:sz w:val="18"/>
                <w:szCs w:val="18"/>
              </w:rPr>
              <w:t>☐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 xml:space="preserve"> studentska evaluacija nastave na razini sastavnice</w:t>
            </w:r>
          </w:p>
          <w:p w14:paraId="06DCBAEE" w14:textId="77777777" w:rsidR="003D168E" w:rsidRDefault="003D168E" w:rsidP="003D168E">
            <w:pPr>
              <w:tabs>
                <w:tab w:val="left" w:pos="1218"/>
              </w:tabs>
              <w:spacing w:before="20" w:after="20"/>
              <w:rPr>
                <w:rStyle w:val="Bez"/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Style w:val="Bez"/>
                <w:rFonts w:ascii="MS Gothic" w:hAnsi="MS Gothic"/>
                <w:sz w:val="18"/>
                <w:szCs w:val="18"/>
              </w:rPr>
              <w:t>☐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 xml:space="preserve"> interna evaluacija nastave </w:t>
            </w:r>
          </w:p>
          <w:p w14:paraId="5CFBF448" w14:textId="77777777" w:rsidR="003D168E" w:rsidRDefault="003D168E" w:rsidP="003D168E">
            <w:pPr>
              <w:tabs>
                <w:tab w:val="left" w:pos="1218"/>
              </w:tabs>
              <w:spacing w:before="20" w:after="20"/>
              <w:rPr>
                <w:rStyle w:val="Bez"/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Style w:val="Bez"/>
                <w:rFonts w:ascii="MS Gothic" w:hAnsi="MS Gothic"/>
                <w:sz w:val="18"/>
                <w:szCs w:val="18"/>
              </w:rPr>
              <w:t>☒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48D7545C" w14:textId="77777777" w:rsidR="003D168E" w:rsidRDefault="003D168E" w:rsidP="003D168E">
            <w:pPr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S Gothic" w:hAnsi="MS Gothic"/>
                <w:sz w:val="18"/>
                <w:szCs w:val="18"/>
              </w:rPr>
              <w:t>☐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 xml:space="preserve"> ostalo</w:t>
            </w:r>
          </w:p>
        </w:tc>
      </w:tr>
      <w:tr w:rsidR="003D168E" w14:paraId="0C78A039" w14:textId="77777777" w:rsidTr="003D168E">
        <w:trPr>
          <w:trHeight w:val="6350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6970C" w14:textId="77777777" w:rsidR="003D168E" w:rsidRDefault="003D168E" w:rsidP="003D168E">
            <w:pPr>
              <w:spacing w:before="20" w:after="20"/>
              <w:rPr>
                <w:rStyle w:val="Bez"/>
                <w:rFonts w:ascii="Merriweather Bold" w:eastAsia="Merriweather Bold" w:hAnsi="Merriweather Bold" w:cs="Merriweather Bold"/>
                <w:sz w:val="20"/>
                <w:szCs w:val="20"/>
              </w:rPr>
            </w:pPr>
            <w:r>
              <w:rPr>
                <w:rStyle w:val="Bez"/>
                <w:rFonts w:ascii="Merriweather Bold" w:hAnsi="Merriweather Bold"/>
                <w:sz w:val="20"/>
                <w:szCs w:val="20"/>
              </w:rPr>
              <w:t>Napomena / </w:t>
            </w:r>
          </w:p>
          <w:p w14:paraId="5DFD8D09" w14:textId="77777777" w:rsidR="003D168E" w:rsidRDefault="003D168E" w:rsidP="003D168E">
            <w:pPr>
              <w:spacing w:before="20" w:after="20"/>
            </w:pPr>
            <w:r>
              <w:rPr>
                <w:rStyle w:val="Bez"/>
                <w:rFonts w:ascii="Merriweather Bold" w:hAnsi="Merriweather Bold"/>
                <w:sz w:val="20"/>
                <w:szCs w:val="20"/>
              </w:rPr>
              <w:t>Ostalo</w:t>
            </w:r>
          </w:p>
        </w:tc>
        <w:tc>
          <w:tcPr>
            <w:tcW w:w="739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87EC4" w14:textId="77777777" w:rsidR="003D168E" w:rsidRDefault="003D168E" w:rsidP="003D168E">
            <w:pPr>
              <w:tabs>
                <w:tab w:val="left" w:pos="1218"/>
              </w:tabs>
              <w:spacing w:before="20" w:after="20"/>
              <w:jc w:val="both"/>
              <w:rPr>
                <w:rStyle w:val="Bez"/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 xml:space="preserve">Sukladno čl. 6. </w:t>
            </w:r>
            <w:r>
              <w:rPr>
                <w:rStyle w:val="Bez"/>
                <w:rFonts w:ascii="Merriweather Light" w:hAnsi="Merriweather Light"/>
                <w:i/>
                <w:iCs/>
                <w:sz w:val="18"/>
                <w:szCs w:val="18"/>
              </w:rPr>
              <w:t>Etičkog kodeksa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DC3FFA4" w14:textId="77777777" w:rsidR="003D168E" w:rsidRDefault="003D168E" w:rsidP="003D168E">
            <w:pPr>
              <w:tabs>
                <w:tab w:val="left" w:pos="1218"/>
              </w:tabs>
              <w:spacing w:before="20" w:after="20"/>
              <w:jc w:val="both"/>
              <w:rPr>
                <w:rStyle w:val="Bez"/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 xml:space="preserve">Prema čl. 14. </w:t>
            </w:r>
            <w:r>
              <w:rPr>
                <w:rStyle w:val="Bez"/>
                <w:rFonts w:ascii="Merriweather Light" w:hAnsi="Merriweather Light"/>
                <w:i/>
                <w:iCs/>
                <w:sz w:val="18"/>
                <w:szCs w:val="18"/>
              </w:rPr>
              <w:t>Etičkog kodeksa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14:paraId="233319A3" w14:textId="77777777" w:rsidR="003D168E" w:rsidRDefault="003D168E" w:rsidP="003D168E">
            <w:pPr>
              <w:tabs>
                <w:tab w:val="left" w:pos="1218"/>
              </w:tabs>
              <w:spacing w:before="20" w:after="20"/>
              <w:jc w:val="both"/>
              <w:rPr>
                <w:rStyle w:val="Bez"/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7A6B3AA2" w14:textId="77777777" w:rsidR="003D168E" w:rsidRDefault="003D168E" w:rsidP="003D168E">
            <w:pPr>
              <w:tabs>
                <w:tab w:val="left" w:pos="1218"/>
              </w:tabs>
              <w:spacing w:before="20" w:after="20"/>
              <w:jc w:val="both"/>
              <w:rPr>
                <w:rStyle w:val="Bez"/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EB5506F" w14:textId="77777777" w:rsidR="003D168E" w:rsidRDefault="003D168E" w:rsidP="003D168E">
            <w:pPr>
              <w:tabs>
                <w:tab w:val="left" w:pos="1218"/>
              </w:tabs>
              <w:spacing w:before="20" w:after="20"/>
              <w:jc w:val="both"/>
              <w:rPr>
                <w:rStyle w:val="Bez"/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0CDBAEA2" w14:textId="77777777" w:rsidR="003D168E" w:rsidRDefault="003D168E" w:rsidP="003D168E">
            <w:pPr>
              <w:tabs>
                <w:tab w:val="left" w:pos="1218"/>
              </w:tabs>
              <w:spacing w:before="20" w:after="20"/>
              <w:jc w:val="both"/>
              <w:rPr>
                <w:rStyle w:val="Bez"/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>
                <w:rPr>
                  <w:rStyle w:val="Hyperlink3"/>
                  <w:rFonts w:ascii="Merriweather Light" w:hAnsi="Merriweather Light"/>
                  <w:sz w:val="18"/>
                  <w:szCs w:val="18"/>
                </w:rPr>
                <w:t>Pravilnik o stegovnoj odgovornosti studenata/studentica Sveučilišta u Zadru</w:t>
              </w:r>
            </w:hyperlink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>.</w:t>
            </w:r>
          </w:p>
          <w:p w14:paraId="62C73D83" w14:textId="77777777" w:rsidR="003D168E" w:rsidRDefault="003D168E" w:rsidP="003D168E">
            <w:pPr>
              <w:tabs>
                <w:tab w:val="left" w:pos="1218"/>
              </w:tabs>
              <w:spacing w:before="20" w:after="20"/>
              <w:jc w:val="both"/>
              <w:rPr>
                <w:rStyle w:val="Bez"/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</w:p>
          <w:p w14:paraId="108FC16E" w14:textId="77777777" w:rsidR="003D168E" w:rsidRDefault="003D168E" w:rsidP="003D168E">
            <w:pPr>
              <w:tabs>
                <w:tab w:val="left" w:pos="1218"/>
              </w:tabs>
              <w:spacing w:before="20" w:after="20"/>
              <w:jc w:val="both"/>
              <w:rPr>
                <w:rStyle w:val="Bez"/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5FC4F95" w14:textId="77777777" w:rsidR="003D168E" w:rsidRDefault="003D168E" w:rsidP="003D168E">
            <w:pPr>
              <w:tabs>
                <w:tab w:val="left" w:pos="1218"/>
              </w:tabs>
              <w:spacing w:before="20" w:after="20"/>
              <w:jc w:val="both"/>
              <w:rPr>
                <w:rStyle w:val="Bez"/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</w:p>
          <w:p w14:paraId="6B85F0ED" w14:textId="77777777" w:rsidR="003D168E" w:rsidRDefault="003D168E" w:rsidP="003D168E">
            <w:pPr>
              <w:tabs>
                <w:tab w:val="left" w:pos="1218"/>
              </w:tabs>
              <w:spacing w:before="20" w:after="20"/>
              <w:jc w:val="both"/>
            </w:pP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>U kolegiju se koristi Merlin, sustav za e-učenje, pa su studentima/cama potrebni AAI računi.</w:t>
            </w:r>
          </w:p>
        </w:tc>
      </w:tr>
    </w:tbl>
    <w:p w14:paraId="0AA76262" w14:textId="77777777" w:rsidR="00776B8C" w:rsidRDefault="00776B8C">
      <w:pPr>
        <w:widowControl w:val="0"/>
        <w:jc w:val="center"/>
      </w:pPr>
    </w:p>
    <w:sectPr w:rsidR="00776B8C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39D9A" w14:textId="77777777" w:rsidR="00A27419" w:rsidRDefault="00A27419">
      <w:pPr>
        <w:spacing w:before="0" w:after="0"/>
      </w:pPr>
      <w:r>
        <w:separator/>
      </w:r>
    </w:p>
  </w:endnote>
  <w:endnote w:type="continuationSeparator" w:id="0">
    <w:p w14:paraId="3091C2AE" w14:textId="77777777" w:rsidR="00A27419" w:rsidRDefault="00A274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 Bold">
    <w:panose1 w:val="00000800000000000000"/>
    <w:charset w:val="4D"/>
    <w:family w:val="auto"/>
    <w:pitch w:val="variable"/>
    <w:sig w:usb0="20000207" w:usb1="00000002" w:usb2="00000000" w:usb3="00000000" w:csb0="00000197" w:csb1="00000000"/>
  </w:font>
  <w:font w:name="Merriweather Regula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 Light">
    <w:panose1 w:val="00000400000000000000"/>
    <w:charset w:val="4D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FF9C" w14:textId="77777777" w:rsidR="00776B8C" w:rsidRDefault="00776B8C">
    <w:pPr>
      <w:pStyle w:val="Zaglavljei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C494E" w14:textId="77777777" w:rsidR="00A27419" w:rsidRDefault="00A27419">
      <w:pPr>
        <w:spacing w:before="0" w:after="0"/>
      </w:pPr>
      <w:r>
        <w:separator/>
      </w:r>
    </w:p>
  </w:footnote>
  <w:footnote w:type="continuationSeparator" w:id="0">
    <w:p w14:paraId="1970E2D6" w14:textId="77777777" w:rsidR="00A27419" w:rsidRDefault="00A2741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3699B" w14:textId="77777777" w:rsidR="00776B8C" w:rsidRDefault="00000000">
    <w:pPr>
      <w:pStyle w:val="Heading2"/>
      <w:tabs>
        <w:tab w:val="left" w:pos="1418"/>
      </w:tabs>
      <w:spacing w:before="0" w:after="0"/>
      <w:ind w:left="1560"/>
      <w:rPr>
        <w:rFonts w:ascii="Merriweather Bold" w:hAnsi="Merriweather Bold"/>
        <w:b w:val="0"/>
        <w:bCs w:val="0"/>
        <w:sz w:val="18"/>
        <w:szCs w:val="18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FCF94EF" wp14:editId="39918EE2">
              <wp:simplePos x="0" y="0"/>
              <wp:positionH relativeFrom="page">
                <wp:posOffset>692149</wp:posOffset>
              </wp:positionH>
              <wp:positionV relativeFrom="page">
                <wp:posOffset>181610</wp:posOffset>
              </wp:positionV>
              <wp:extent cx="1163320" cy="957581"/>
              <wp:effectExtent l="0" t="0" r="0" b="0"/>
              <wp:wrapNone/>
              <wp:docPr id="1073741825" name="officeArt object" descr="Pravokutni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3320" cy="9575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 w14:paraId="202349D2" w14:textId="77777777" w:rsidR="00776B8C" w:rsidRDefault="0000000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FFCE27" wp14:editId="7394A227">
                                <wp:extent cx="735070" cy="785014"/>
                                <wp:effectExtent l="0" t="0" r="0" b="0"/>
                                <wp:docPr id="1073741826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6" name="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5070" cy="785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54.5pt;margin-top:14.3pt;width:91.6pt;height:75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</w:pPr>
                    <w:r>
                      <w:drawing xmlns:a="http://schemas.openxmlformats.org/drawingml/2006/main">
                        <wp:inline distT="0" distB="0" distL="0" distR="0">
                          <wp:extent cx="735070" cy="785014"/>
                          <wp:effectExtent l="0" t="0" r="0" b="0"/>
                          <wp:docPr id="1073741826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26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2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5070" cy="7850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  <w:p w14:paraId="36D71DE0" w14:textId="77777777" w:rsidR="00776B8C" w:rsidRDefault="00000000">
    <w:pPr>
      <w:pBdr>
        <w:bottom w:val="single" w:sz="4" w:space="0" w:color="000000"/>
      </w:pBdr>
      <w:tabs>
        <w:tab w:val="left" w:pos="1418"/>
      </w:tabs>
      <w:spacing w:before="0" w:after="0"/>
      <w:ind w:left="1560"/>
      <w:jc w:val="right"/>
      <w:rPr>
        <w:rFonts w:ascii="Merriweather Regular" w:eastAsia="Merriweather Regular" w:hAnsi="Merriweather Regular" w:cs="Merriweather Regular"/>
        <w:sz w:val="18"/>
        <w:szCs w:val="18"/>
      </w:rPr>
    </w:pPr>
    <w:r>
      <w:rPr>
        <w:rFonts w:ascii="Merriweather Regular" w:hAnsi="Merriweather Regular"/>
        <w:sz w:val="18"/>
        <w:szCs w:val="18"/>
      </w:rPr>
      <w:t>Obrazac 1.3.2. Izvedbeni plan nastave (</w:t>
    </w:r>
    <w:r>
      <w:rPr>
        <w:rFonts w:ascii="Merriweather Light" w:hAnsi="Merriweather Light"/>
        <w:i/>
        <w:iCs/>
        <w:sz w:val="18"/>
        <w:szCs w:val="18"/>
      </w:rPr>
      <w:t>syllabus</w:t>
    </w:r>
    <w:r>
      <w:rPr>
        <w:rFonts w:ascii="Merriweather Regular" w:hAnsi="Merriweather Regular"/>
        <w:sz w:val="18"/>
        <w:szCs w:val="18"/>
      </w:rPr>
      <w:t>)</w:t>
    </w:r>
  </w:p>
  <w:p w14:paraId="75A1E78C" w14:textId="77777777" w:rsidR="00776B8C" w:rsidRDefault="00776B8C">
    <w:pPr>
      <w:pStyle w:val="Header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8F3"/>
    <w:multiLevelType w:val="hybridMultilevel"/>
    <w:tmpl w:val="5D9E1348"/>
    <w:lvl w:ilvl="0" w:tplc="27AEB9DE">
      <w:start w:val="1"/>
      <w:numFmt w:val="bullet"/>
      <w:lvlText w:val="-"/>
      <w:lvlJc w:val="left"/>
      <w:pPr>
        <w:tabs>
          <w:tab w:val="left" w:pos="1218"/>
        </w:tabs>
        <w:ind w:left="1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BA4A8A">
      <w:start w:val="1"/>
      <w:numFmt w:val="bullet"/>
      <w:lvlText w:val="-"/>
      <w:lvlJc w:val="left"/>
      <w:pPr>
        <w:tabs>
          <w:tab w:val="left" w:pos="1218"/>
        </w:tabs>
        <w:ind w:left="7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FAF940">
      <w:start w:val="1"/>
      <w:numFmt w:val="bullet"/>
      <w:lvlText w:val="-"/>
      <w:lvlJc w:val="left"/>
      <w:pPr>
        <w:tabs>
          <w:tab w:val="left" w:pos="1218"/>
        </w:tabs>
        <w:ind w:left="13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28EA06">
      <w:start w:val="1"/>
      <w:numFmt w:val="bullet"/>
      <w:lvlText w:val="-"/>
      <w:lvlJc w:val="left"/>
      <w:pPr>
        <w:tabs>
          <w:tab w:val="left" w:pos="1218"/>
        </w:tabs>
        <w:ind w:left="19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3292FE">
      <w:start w:val="1"/>
      <w:numFmt w:val="bullet"/>
      <w:lvlText w:val="-"/>
      <w:lvlJc w:val="left"/>
      <w:pPr>
        <w:tabs>
          <w:tab w:val="left" w:pos="1218"/>
        </w:tabs>
        <w:ind w:left="25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D8147C">
      <w:start w:val="1"/>
      <w:numFmt w:val="bullet"/>
      <w:lvlText w:val="-"/>
      <w:lvlJc w:val="left"/>
      <w:pPr>
        <w:tabs>
          <w:tab w:val="left" w:pos="1218"/>
        </w:tabs>
        <w:ind w:left="31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BC2EE8">
      <w:start w:val="1"/>
      <w:numFmt w:val="bullet"/>
      <w:lvlText w:val="-"/>
      <w:lvlJc w:val="left"/>
      <w:pPr>
        <w:tabs>
          <w:tab w:val="left" w:pos="1218"/>
        </w:tabs>
        <w:ind w:left="37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7606FC">
      <w:start w:val="1"/>
      <w:numFmt w:val="bullet"/>
      <w:lvlText w:val="-"/>
      <w:lvlJc w:val="left"/>
      <w:pPr>
        <w:tabs>
          <w:tab w:val="left" w:pos="1218"/>
        </w:tabs>
        <w:ind w:left="43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4E4D22">
      <w:start w:val="1"/>
      <w:numFmt w:val="bullet"/>
      <w:lvlText w:val="-"/>
      <w:lvlJc w:val="left"/>
      <w:pPr>
        <w:tabs>
          <w:tab w:val="left" w:pos="1218"/>
        </w:tabs>
        <w:ind w:left="49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1A093C"/>
    <w:multiLevelType w:val="hybridMultilevel"/>
    <w:tmpl w:val="EB548184"/>
    <w:lvl w:ilvl="0" w:tplc="21063D62">
      <w:start w:val="1"/>
      <w:numFmt w:val="decimal"/>
      <w:lvlText w:val="%1."/>
      <w:lvlJc w:val="left"/>
      <w:pPr>
        <w:tabs>
          <w:tab w:val="left" w:pos="20"/>
          <w:tab w:val="left" w:pos="1218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3A5042">
      <w:start w:val="1"/>
      <w:numFmt w:val="decimal"/>
      <w:lvlText w:val="%2."/>
      <w:lvlJc w:val="left"/>
      <w:pPr>
        <w:tabs>
          <w:tab w:val="left" w:pos="20"/>
          <w:tab w:val="left" w:pos="189"/>
          <w:tab w:val="left" w:pos="1218"/>
        </w:tabs>
        <w:ind w:left="9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EE8218">
      <w:start w:val="1"/>
      <w:numFmt w:val="decimal"/>
      <w:lvlText w:val="%3."/>
      <w:lvlJc w:val="left"/>
      <w:pPr>
        <w:tabs>
          <w:tab w:val="left" w:pos="20"/>
          <w:tab w:val="left" w:pos="189"/>
          <w:tab w:val="left" w:pos="1218"/>
        </w:tabs>
        <w:ind w:left="162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664CD2">
      <w:start w:val="1"/>
      <w:numFmt w:val="decimal"/>
      <w:lvlText w:val="%4."/>
      <w:lvlJc w:val="left"/>
      <w:pPr>
        <w:tabs>
          <w:tab w:val="left" w:pos="20"/>
          <w:tab w:val="left" w:pos="189"/>
          <w:tab w:val="left" w:pos="1218"/>
        </w:tabs>
        <w:ind w:left="234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5EEF68">
      <w:start w:val="1"/>
      <w:numFmt w:val="decimal"/>
      <w:lvlText w:val="%5."/>
      <w:lvlJc w:val="left"/>
      <w:pPr>
        <w:tabs>
          <w:tab w:val="left" w:pos="20"/>
          <w:tab w:val="left" w:pos="189"/>
          <w:tab w:val="left" w:pos="1218"/>
        </w:tabs>
        <w:ind w:left="306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EEB32E">
      <w:start w:val="1"/>
      <w:numFmt w:val="decimal"/>
      <w:lvlText w:val="%6."/>
      <w:lvlJc w:val="left"/>
      <w:pPr>
        <w:tabs>
          <w:tab w:val="left" w:pos="20"/>
          <w:tab w:val="left" w:pos="189"/>
          <w:tab w:val="left" w:pos="1218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644CEA">
      <w:start w:val="1"/>
      <w:numFmt w:val="decimal"/>
      <w:lvlText w:val="%7."/>
      <w:lvlJc w:val="left"/>
      <w:pPr>
        <w:tabs>
          <w:tab w:val="left" w:pos="20"/>
          <w:tab w:val="left" w:pos="189"/>
          <w:tab w:val="left" w:pos="1218"/>
        </w:tabs>
        <w:ind w:left="45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845FC0">
      <w:start w:val="1"/>
      <w:numFmt w:val="decimal"/>
      <w:lvlText w:val="%8."/>
      <w:lvlJc w:val="left"/>
      <w:pPr>
        <w:tabs>
          <w:tab w:val="left" w:pos="20"/>
          <w:tab w:val="left" w:pos="189"/>
          <w:tab w:val="left" w:pos="1218"/>
        </w:tabs>
        <w:ind w:left="522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EA0C72">
      <w:start w:val="1"/>
      <w:numFmt w:val="decimal"/>
      <w:lvlText w:val="%9."/>
      <w:lvlJc w:val="left"/>
      <w:pPr>
        <w:tabs>
          <w:tab w:val="left" w:pos="20"/>
          <w:tab w:val="left" w:pos="189"/>
          <w:tab w:val="left" w:pos="1218"/>
        </w:tabs>
        <w:ind w:left="594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B14644A"/>
    <w:multiLevelType w:val="hybridMultilevel"/>
    <w:tmpl w:val="633EDB0A"/>
    <w:lvl w:ilvl="0" w:tplc="B57C01FC">
      <w:start w:val="1"/>
      <w:numFmt w:val="bullet"/>
      <w:lvlText w:val="-"/>
      <w:lvlJc w:val="left"/>
      <w:pPr>
        <w:tabs>
          <w:tab w:val="left" w:pos="1218"/>
        </w:tabs>
        <w:ind w:left="1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EC6E42">
      <w:start w:val="1"/>
      <w:numFmt w:val="bullet"/>
      <w:lvlText w:val="-"/>
      <w:lvlJc w:val="left"/>
      <w:pPr>
        <w:tabs>
          <w:tab w:val="left" w:pos="1218"/>
        </w:tabs>
        <w:ind w:left="7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4E5894">
      <w:start w:val="1"/>
      <w:numFmt w:val="bullet"/>
      <w:lvlText w:val="-"/>
      <w:lvlJc w:val="left"/>
      <w:pPr>
        <w:tabs>
          <w:tab w:val="left" w:pos="1218"/>
        </w:tabs>
        <w:ind w:left="13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408028">
      <w:start w:val="1"/>
      <w:numFmt w:val="bullet"/>
      <w:lvlText w:val="-"/>
      <w:lvlJc w:val="left"/>
      <w:pPr>
        <w:tabs>
          <w:tab w:val="left" w:pos="1218"/>
        </w:tabs>
        <w:ind w:left="19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54040C">
      <w:start w:val="1"/>
      <w:numFmt w:val="bullet"/>
      <w:lvlText w:val="-"/>
      <w:lvlJc w:val="left"/>
      <w:pPr>
        <w:tabs>
          <w:tab w:val="left" w:pos="1218"/>
        </w:tabs>
        <w:ind w:left="25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66F894">
      <w:start w:val="1"/>
      <w:numFmt w:val="bullet"/>
      <w:lvlText w:val="-"/>
      <w:lvlJc w:val="left"/>
      <w:pPr>
        <w:tabs>
          <w:tab w:val="left" w:pos="1218"/>
        </w:tabs>
        <w:ind w:left="31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EE8BC8">
      <w:start w:val="1"/>
      <w:numFmt w:val="bullet"/>
      <w:lvlText w:val="-"/>
      <w:lvlJc w:val="left"/>
      <w:pPr>
        <w:tabs>
          <w:tab w:val="left" w:pos="1218"/>
        </w:tabs>
        <w:ind w:left="37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8E6ACC">
      <w:start w:val="1"/>
      <w:numFmt w:val="bullet"/>
      <w:lvlText w:val="-"/>
      <w:lvlJc w:val="left"/>
      <w:pPr>
        <w:tabs>
          <w:tab w:val="left" w:pos="1218"/>
        </w:tabs>
        <w:ind w:left="43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E81448">
      <w:start w:val="1"/>
      <w:numFmt w:val="bullet"/>
      <w:lvlText w:val="-"/>
      <w:lvlJc w:val="left"/>
      <w:pPr>
        <w:tabs>
          <w:tab w:val="left" w:pos="1218"/>
        </w:tabs>
        <w:ind w:left="49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251804"/>
    <w:multiLevelType w:val="hybridMultilevel"/>
    <w:tmpl w:val="25707D1C"/>
    <w:lvl w:ilvl="0" w:tplc="1664727A">
      <w:start w:val="1"/>
      <w:numFmt w:val="bullet"/>
      <w:lvlText w:val="-"/>
      <w:lvlJc w:val="left"/>
      <w:pPr>
        <w:tabs>
          <w:tab w:val="left" w:pos="1218"/>
        </w:tabs>
        <w:ind w:left="1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DE94BC">
      <w:start w:val="1"/>
      <w:numFmt w:val="bullet"/>
      <w:lvlText w:val="-"/>
      <w:lvlJc w:val="left"/>
      <w:pPr>
        <w:tabs>
          <w:tab w:val="left" w:pos="1218"/>
        </w:tabs>
        <w:ind w:left="7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BC4914">
      <w:start w:val="1"/>
      <w:numFmt w:val="bullet"/>
      <w:lvlText w:val="-"/>
      <w:lvlJc w:val="left"/>
      <w:pPr>
        <w:tabs>
          <w:tab w:val="left" w:pos="1218"/>
        </w:tabs>
        <w:ind w:left="13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38EBB4">
      <w:start w:val="1"/>
      <w:numFmt w:val="bullet"/>
      <w:lvlText w:val="-"/>
      <w:lvlJc w:val="left"/>
      <w:pPr>
        <w:tabs>
          <w:tab w:val="left" w:pos="1218"/>
        </w:tabs>
        <w:ind w:left="19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663D5C">
      <w:start w:val="1"/>
      <w:numFmt w:val="bullet"/>
      <w:lvlText w:val="-"/>
      <w:lvlJc w:val="left"/>
      <w:pPr>
        <w:tabs>
          <w:tab w:val="left" w:pos="1218"/>
        </w:tabs>
        <w:ind w:left="25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66D250">
      <w:start w:val="1"/>
      <w:numFmt w:val="bullet"/>
      <w:lvlText w:val="-"/>
      <w:lvlJc w:val="left"/>
      <w:pPr>
        <w:tabs>
          <w:tab w:val="left" w:pos="1218"/>
        </w:tabs>
        <w:ind w:left="31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981C46">
      <w:start w:val="1"/>
      <w:numFmt w:val="bullet"/>
      <w:lvlText w:val="-"/>
      <w:lvlJc w:val="left"/>
      <w:pPr>
        <w:tabs>
          <w:tab w:val="left" w:pos="1218"/>
        </w:tabs>
        <w:ind w:left="37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684180">
      <w:start w:val="1"/>
      <w:numFmt w:val="bullet"/>
      <w:lvlText w:val="-"/>
      <w:lvlJc w:val="left"/>
      <w:pPr>
        <w:tabs>
          <w:tab w:val="left" w:pos="1218"/>
        </w:tabs>
        <w:ind w:left="43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1A4034">
      <w:start w:val="1"/>
      <w:numFmt w:val="bullet"/>
      <w:lvlText w:val="-"/>
      <w:lvlJc w:val="left"/>
      <w:pPr>
        <w:tabs>
          <w:tab w:val="left" w:pos="1218"/>
        </w:tabs>
        <w:ind w:left="49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19816675">
    <w:abstractNumId w:val="1"/>
  </w:num>
  <w:num w:numId="2" w16cid:durableId="1061715929">
    <w:abstractNumId w:val="3"/>
  </w:num>
  <w:num w:numId="3" w16cid:durableId="1332638832">
    <w:abstractNumId w:val="0"/>
  </w:num>
  <w:num w:numId="4" w16cid:durableId="446118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B8C"/>
    <w:rsid w:val="003D168E"/>
    <w:rsid w:val="00776B8C"/>
    <w:rsid w:val="00A2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592C5D"/>
  <w15:docId w15:val="{72E3CA79-71B0-184F-95F6-18462AC2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H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2">
    <w:name w:val="heading 2"/>
    <w:uiPriority w:val="9"/>
    <w:unhideWhenUsed/>
    <w:qFormat/>
    <w:pPr>
      <w:spacing w:before="100" w:after="100"/>
      <w:outlineLvl w:val="1"/>
    </w:pPr>
    <w:rPr>
      <w:rFonts w:cs="Arial Unicode MS"/>
      <w:b/>
      <w:bCs/>
      <w:color w:val="000000"/>
      <w:sz w:val="36"/>
      <w:szCs w:val="3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5">
    <w:name w:val="heading 5"/>
    <w:uiPriority w:val="9"/>
    <w:unhideWhenUsed/>
    <w:qFormat/>
    <w:pPr>
      <w:spacing w:before="120" w:after="120"/>
      <w:outlineLvl w:val="4"/>
    </w:pPr>
    <w:rPr>
      <w:rFonts w:ascii="Calibri" w:hAnsi="Calibri" w:cs="Arial Unicode MS"/>
      <w:color w:val="000000"/>
      <w:u w:color="000000"/>
      <w:lang w:val="en-US"/>
    </w:rPr>
  </w:style>
  <w:style w:type="paragraph" w:styleId="Heading6">
    <w:name w:val="heading 6"/>
    <w:uiPriority w:val="9"/>
    <w:unhideWhenUsed/>
    <w:qFormat/>
    <w:pPr>
      <w:spacing w:before="120" w:after="120"/>
      <w:outlineLvl w:val="5"/>
    </w:pPr>
    <w:rPr>
      <w:rFonts w:ascii="Calibri" w:eastAsia="Calibri" w:hAnsi="Calibri" w:cs="Calibri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Zaglavljeipodnoje">
    <w:name w:val="Zaglavlje i podnožje"/>
    <w:pPr>
      <w:tabs>
        <w:tab w:val="right" w:pos="9020"/>
      </w:tabs>
    </w:pPr>
    <w:rPr>
      <w:rFonts w:ascii="Calibri" w:eastAsia="Calibri" w:hAnsi="Calibri" w:cs="Calibri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</w:rPr>
  </w:style>
  <w:style w:type="character" w:customStyle="1" w:styleId="Bez">
    <w:name w:val="Bez"/>
  </w:style>
  <w:style w:type="character" w:customStyle="1" w:styleId="Hyperlink1">
    <w:name w:val="Hyperlink.1"/>
    <w:basedOn w:val="Bez"/>
    <w:rPr>
      <w:outline w:val="0"/>
      <w:color w:val="0000FF"/>
      <w:u w:val="single" w:color="0000FF"/>
      <w:lang w:val="en-US"/>
    </w:rPr>
  </w:style>
  <w:style w:type="character" w:customStyle="1" w:styleId="Hyperlink2">
    <w:name w:val="Hyperlink.2"/>
    <w:basedOn w:val="Bez"/>
    <w:rPr>
      <w:outline w:val="0"/>
      <w:color w:val="0000FF"/>
      <w:sz w:val="18"/>
      <w:szCs w:val="18"/>
      <w:u w:val="single" w:color="0000FF"/>
      <w:lang w:val="en-US"/>
    </w:rPr>
  </w:style>
  <w:style w:type="character" w:customStyle="1" w:styleId="Hyperlink3">
    <w:name w:val="Hyperlink.3"/>
    <w:basedOn w:val="Link"/>
    <w:rPr>
      <w:i/>
      <w:iCs/>
      <w:outline w:val="0"/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nija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zornija@unizd.h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hebyzantinelegac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tantinople.ehw.gr/forms/fmain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1532</Words>
  <Characters>8738</Characters>
  <Application>Microsoft Office Word</Application>
  <DocSecurity>0</DocSecurity>
  <Lines>72</Lines>
  <Paragraphs>20</Paragraphs>
  <ScaleCrop>false</ScaleCrop>
  <Company/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Meri Zornija</cp:lastModifiedBy>
  <cp:revision>2</cp:revision>
  <dcterms:created xsi:type="dcterms:W3CDTF">2023-09-13T00:21:00Z</dcterms:created>
  <dcterms:modified xsi:type="dcterms:W3CDTF">2023-09-13T00:21:00Z</dcterms:modified>
</cp:coreProperties>
</file>